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ED066">
      <w:pPr>
        <w:spacing w:after="120"/>
        <w:jc w:val="center"/>
        <w:rPr>
          <w:lang w:eastAsia="zh-CN"/>
        </w:rPr>
      </w:pPr>
      <w:r>
        <w:rPr>
          <w:rFonts w:ascii="方正小标宋简体" w:hAnsi="方正小标宋简体" w:eastAsia="宋体"/>
          <w:b/>
          <w:sz w:val="44"/>
          <w:lang w:eastAsia="zh-CN"/>
        </w:rPr>
        <w:t>中国国际科技促进会</w:t>
      </w:r>
    </w:p>
    <w:p w14:paraId="386D839D">
      <w:pPr>
        <w:spacing w:after="360"/>
        <w:jc w:val="center"/>
        <w:rPr>
          <w:lang w:eastAsia="zh-CN"/>
        </w:rPr>
      </w:pPr>
      <w:r>
        <w:rPr>
          <w:rFonts w:ascii="方正小标宋简体" w:hAnsi="方正小标宋简体" w:eastAsia="宋体"/>
          <w:b/>
          <w:sz w:val="44"/>
          <w:lang w:eastAsia="zh-CN"/>
        </w:rPr>
        <w:t>专家共识立项到发布工作流程</w:t>
      </w:r>
    </w:p>
    <w:p w14:paraId="5C5EFE77">
      <w:pPr>
        <w:spacing w:before="240" w:after="120"/>
        <w:rPr>
          <w:lang w:eastAsia="zh-CN"/>
        </w:rPr>
      </w:pPr>
      <w:r>
        <w:rPr>
          <w:rFonts w:ascii="黑体" w:hAnsi="黑体" w:eastAsia="黑体"/>
          <w:b/>
          <w:sz w:val="32"/>
          <w:lang w:eastAsia="zh-CN"/>
        </w:rPr>
        <w:t>一、流程概述</w:t>
      </w:r>
    </w:p>
    <w:p w14:paraId="435512AB">
      <w:pPr>
        <w:spacing w:after="120" w:line="360" w:lineRule="auto"/>
        <w:ind w:firstLine="420"/>
        <w:rPr>
          <w:lang w:eastAsia="zh-CN"/>
        </w:rPr>
      </w:pPr>
      <w:r>
        <w:rPr>
          <w:rFonts w:ascii="仿宋" w:hAnsi="仿宋" w:eastAsia="仿宋"/>
          <w:sz w:val="28"/>
          <w:lang w:eastAsia="zh-CN"/>
        </w:rPr>
        <w:t>专家共识工作全流程分为立项、编制、审查、发布四个阶段，共21个关键节点，3个决策表决点。自立项公告发布之日起，编制周期一般不超过12个月，特殊情况可申请延期最长不超过6个月。整个流程在标准化工作委员会（以下简称"标委会"）统一管理协调下开展，专家工作委员会提供协作支持。</w:t>
      </w:r>
    </w:p>
    <w:p w14:paraId="31B9F221">
      <w:pPr>
        <w:spacing w:before="240" w:after="120"/>
        <w:rPr>
          <w:lang w:eastAsia="zh-CN"/>
        </w:rPr>
      </w:pPr>
      <w:r>
        <w:rPr>
          <w:rFonts w:ascii="黑体" w:hAnsi="黑体" w:eastAsia="黑体"/>
          <w:b/>
          <w:sz w:val="32"/>
          <w:lang w:eastAsia="zh-CN"/>
        </w:rPr>
        <w:t>二、各阶段流程详情</w:t>
      </w:r>
    </w:p>
    <w:p w14:paraId="458AA4D2">
      <w:pPr>
        <w:spacing w:before="280" w:after="160"/>
        <w:rPr>
          <w:lang w:eastAsia="zh-CN"/>
        </w:rPr>
      </w:pPr>
      <w:r>
        <w:rPr>
          <w:rFonts w:ascii="黑体" w:hAnsi="黑体" w:eastAsia="黑体"/>
          <w:b/>
          <w:color w:val="4A90D9"/>
          <w:sz w:val="30"/>
          <w:lang w:eastAsia="zh-CN"/>
        </w:rPr>
        <w:t>第一阶段：立项</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456"/>
        <w:gridCol w:w="1451"/>
        <w:gridCol w:w="1180"/>
        <w:gridCol w:w="2080"/>
        <w:gridCol w:w="1289"/>
      </w:tblGrid>
      <w:tr w14:paraId="1555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shd w:val="clear" w:color="auto" w:fill="4A90D9"/>
            <w:vAlign w:val="center"/>
          </w:tcPr>
          <w:p w14:paraId="72E1D50B">
            <w:pPr>
              <w:spacing w:after="0" w:line="240" w:lineRule="auto"/>
              <w:jc w:val="center"/>
            </w:pPr>
            <w:r>
              <w:rPr>
                <w:rFonts w:ascii="黑体" w:hAnsi="黑体" w:eastAsia="黑体"/>
                <w:b/>
                <w:color w:val="FFFFFF"/>
              </w:rPr>
              <w:t>序号</w:t>
            </w:r>
          </w:p>
        </w:tc>
        <w:tc>
          <w:tcPr>
            <w:tcW w:w="1814" w:type="dxa"/>
            <w:shd w:val="clear" w:color="auto" w:fill="4A90D9"/>
            <w:vAlign w:val="center"/>
          </w:tcPr>
          <w:p w14:paraId="5CB6EF25">
            <w:pPr>
              <w:spacing w:after="0" w:line="240" w:lineRule="auto"/>
              <w:jc w:val="center"/>
            </w:pPr>
            <w:r>
              <w:rPr>
                <w:rFonts w:ascii="黑体" w:hAnsi="黑体" w:eastAsia="黑体"/>
                <w:b/>
                <w:color w:val="FFFFFF"/>
              </w:rPr>
              <w:t>环节名称</w:t>
            </w:r>
          </w:p>
        </w:tc>
        <w:tc>
          <w:tcPr>
            <w:tcW w:w="1701" w:type="dxa"/>
            <w:shd w:val="clear" w:color="auto" w:fill="4A90D9"/>
            <w:vAlign w:val="center"/>
          </w:tcPr>
          <w:p w14:paraId="71014ADC">
            <w:pPr>
              <w:spacing w:after="0" w:line="240" w:lineRule="auto"/>
              <w:jc w:val="center"/>
            </w:pPr>
            <w:r>
              <w:rPr>
                <w:rFonts w:ascii="黑体" w:hAnsi="黑体" w:eastAsia="黑体"/>
                <w:b/>
                <w:color w:val="FFFFFF"/>
              </w:rPr>
              <w:t>责任主体</w:t>
            </w:r>
          </w:p>
        </w:tc>
        <w:tc>
          <w:tcPr>
            <w:tcW w:w="1247" w:type="dxa"/>
            <w:shd w:val="clear" w:color="auto" w:fill="4A90D9"/>
            <w:vAlign w:val="center"/>
          </w:tcPr>
          <w:p w14:paraId="59A1D3C1">
            <w:pPr>
              <w:spacing w:after="0" w:line="240" w:lineRule="auto"/>
              <w:jc w:val="center"/>
            </w:pPr>
            <w:r>
              <w:rPr>
                <w:rFonts w:ascii="黑体" w:hAnsi="黑体" w:eastAsia="黑体"/>
                <w:b/>
                <w:color w:val="FFFFFF"/>
              </w:rPr>
              <w:t>时间/周期</w:t>
            </w:r>
          </w:p>
        </w:tc>
        <w:tc>
          <w:tcPr>
            <w:tcW w:w="2551" w:type="dxa"/>
            <w:shd w:val="clear" w:color="auto" w:fill="4A90D9"/>
            <w:vAlign w:val="center"/>
          </w:tcPr>
          <w:p w14:paraId="30457A71">
            <w:pPr>
              <w:spacing w:after="0" w:line="240" w:lineRule="auto"/>
              <w:jc w:val="center"/>
            </w:pPr>
            <w:r>
              <w:rPr>
                <w:rFonts w:ascii="黑体" w:hAnsi="黑体" w:eastAsia="黑体"/>
                <w:b/>
                <w:color w:val="FFFFFF"/>
              </w:rPr>
              <w:t>主要内容与要求</w:t>
            </w:r>
          </w:p>
        </w:tc>
        <w:tc>
          <w:tcPr>
            <w:tcW w:w="1587" w:type="dxa"/>
            <w:shd w:val="clear" w:color="auto" w:fill="4A90D9"/>
            <w:vAlign w:val="center"/>
          </w:tcPr>
          <w:p w14:paraId="74770708">
            <w:pPr>
              <w:spacing w:after="0" w:line="240" w:lineRule="auto"/>
              <w:jc w:val="center"/>
            </w:pPr>
            <w:r>
              <w:rPr>
                <w:rFonts w:ascii="黑体" w:hAnsi="黑体" w:eastAsia="黑体"/>
                <w:b/>
                <w:color w:val="FFFFFF"/>
              </w:rPr>
              <w:t>输出成果</w:t>
            </w:r>
          </w:p>
        </w:tc>
      </w:tr>
      <w:tr w14:paraId="63D1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136B60F1">
            <w:pPr>
              <w:spacing w:after="0" w:line="240" w:lineRule="auto"/>
              <w:jc w:val="center"/>
            </w:pPr>
            <w:r>
              <w:rPr>
                <w:rFonts w:ascii="仿宋" w:hAnsi="仿宋" w:eastAsia="仿宋"/>
                <w:sz w:val="21"/>
              </w:rPr>
              <w:t>1</w:t>
            </w:r>
          </w:p>
        </w:tc>
        <w:tc>
          <w:tcPr>
            <w:tcW w:w="1441" w:type="dxa"/>
            <w:vAlign w:val="center"/>
          </w:tcPr>
          <w:p w14:paraId="1972BC32">
            <w:pPr>
              <w:spacing w:after="0" w:line="240" w:lineRule="auto"/>
            </w:pPr>
            <w:r>
              <w:rPr>
                <w:rFonts w:ascii="仿宋" w:hAnsi="仿宋" w:eastAsia="仿宋"/>
                <w:sz w:val="21"/>
              </w:rPr>
              <w:t>项目征集与提案</w:t>
            </w:r>
          </w:p>
        </w:tc>
        <w:tc>
          <w:tcPr>
            <w:tcW w:w="1441" w:type="dxa"/>
            <w:vAlign w:val="center"/>
          </w:tcPr>
          <w:p w14:paraId="61AA77F2">
            <w:pPr>
              <w:spacing w:after="0" w:line="240" w:lineRule="auto"/>
            </w:pPr>
            <w:r>
              <w:rPr>
                <w:rFonts w:ascii="仿宋" w:hAnsi="仿宋" w:eastAsia="仿宋"/>
                <w:sz w:val="21"/>
              </w:rPr>
              <w:t>标委会</w:t>
            </w:r>
          </w:p>
        </w:tc>
        <w:tc>
          <w:tcPr>
            <w:tcW w:w="1441" w:type="dxa"/>
            <w:vAlign w:val="center"/>
          </w:tcPr>
          <w:p w14:paraId="63C85814">
            <w:pPr>
              <w:spacing w:after="0" w:line="240" w:lineRule="auto"/>
            </w:pPr>
            <w:r>
              <w:rPr>
                <w:rFonts w:ascii="仿宋" w:hAnsi="仿宋" w:eastAsia="仿宋"/>
                <w:sz w:val="21"/>
              </w:rPr>
              <w:t>定期/不定期</w:t>
            </w:r>
          </w:p>
        </w:tc>
        <w:tc>
          <w:tcPr>
            <w:tcW w:w="1441" w:type="dxa"/>
            <w:vAlign w:val="center"/>
          </w:tcPr>
          <w:p w14:paraId="17E7D6F4">
            <w:pPr>
              <w:spacing w:after="0" w:line="240" w:lineRule="auto"/>
              <w:rPr>
                <w:lang w:eastAsia="zh-CN"/>
              </w:rPr>
            </w:pPr>
            <w:r>
              <w:rPr>
                <w:rFonts w:ascii="仿宋" w:hAnsi="仿宋" w:eastAsia="仿宋"/>
                <w:sz w:val="21"/>
                <w:lang w:eastAsia="zh-CN"/>
              </w:rPr>
              <w:t>公开征集、分支机构或会员单位提出</w:t>
            </w:r>
          </w:p>
        </w:tc>
        <w:tc>
          <w:tcPr>
            <w:tcW w:w="1441" w:type="dxa"/>
            <w:vAlign w:val="center"/>
          </w:tcPr>
          <w:p w14:paraId="342E0065">
            <w:pPr>
              <w:spacing w:after="0" w:line="240" w:lineRule="auto"/>
            </w:pPr>
            <w:r>
              <w:rPr>
                <w:rFonts w:ascii="仿宋" w:hAnsi="仿宋" w:eastAsia="仿宋"/>
                <w:sz w:val="21"/>
              </w:rPr>
              <w:t>立项建议</w:t>
            </w:r>
          </w:p>
        </w:tc>
      </w:tr>
      <w:tr w14:paraId="3ED8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0792D8F2">
            <w:pPr>
              <w:spacing w:after="0" w:line="240" w:lineRule="auto"/>
              <w:jc w:val="center"/>
            </w:pPr>
            <w:r>
              <w:rPr>
                <w:rFonts w:ascii="仿宋" w:hAnsi="仿宋" w:eastAsia="仿宋"/>
                <w:sz w:val="21"/>
              </w:rPr>
              <w:t>2</w:t>
            </w:r>
          </w:p>
        </w:tc>
        <w:tc>
          <w:tcPr>
            <w:tcW w:w="1441" w:type="dxa"/>
            <w:vAlign w:val="center"/>
          </w:tcPr>
          <w:p w14:paraId="27998186">
            <w:pPr>
              <w:spacing w:after="0" w:line="240" w:lineRule="auto"/>
            </w:pPr>
            <w:r>
              <w:rPr>
                <w:rFonts w:ascii="仿宋" w:hAnsi="仿宋" w:eastAsia="仿宋"/>
                <w:sz w:val="21"/>
              </w:rPr>
              <w:t>提交申请材料</w:t>
            </w:r>
          </w:p>
        </w:tc>
        <w:tc>
          <w:tcPr>
            <w:tcW w:w="1441" w:type="dxa"/>
            <w:vAlign w:val="center"/>
          </w:tcPr>
          <w:p w14:paraId="470AC1B4">
            <w:pPr>
              <w:spacing w:after="0" w:line="240" w:lineRule="auto"/>
              <w:rPr>
                <w:lang w:eastAsia="zh-CN"/>
              </w:rPr>
            </w:pPr>
            <w:r>
              <w:rPr>
                <w:rFonts w:ascii="仿宋" w:hAnsi="仿宋" w:eastAsia="仿宋"/>
                <w:sz w:val="21"/>
                <w:lang w:eastAsia="zh-CN"/>
              </w:rPr>
              <w:t>申报单位（≥3家联合）</w:t>
            </w:r>
          </w:p>
        </w:tc>
        <w:tc>
          <w:tcPr>
            <w:tcW w:w="1441" w:type="dxa"/>
            <w:vAlign w:val="center"/>
          </w:tcPr>
          <w:p w14:paraId="02B5EFEF">
            <w:pPr>
              <w:spacing w:after="0" w:line="240" w:lineRule="auto"/>
            </w:pPr>
            <w:r>
              <w:rPr>
                <w:rFonts w:ascii="仿宋" w:hAnsi="仿宋" w:eastAsia="仿宋"/>
                <w:sz w:val="21"/>
              </w:rPr>
              <w:t>—</w:t>
            </w:r>
          </w:p>
        </w:tc>
        <w:tc>
          <w:tcPr>
            <w:tcW w:w="1441" w:type="dxa"/>
            <w:vAlign w:val="center"/>
          </w:tcPr>
          <w:p w14:paraId="18C259A0">
            <w:pPr>
              <w:spacing w:after="0" w:line="240" w:lineRule="auto"/>
              <w:rPr>
                <w:lang w:eastAsia="zh-CN"/>
              </w:rPr>
            </w:pPr>
            <w:r>
              <w:rPr>
                <w:rFonts w:ascii="仿宋" w:hAnsi="仿宋" w:eastAsia="仿宋"/>
                <w:sz w:val="21"/>
                <w:lang w:eastAsia="zh-CN"/>
              </w:rPr>
              <w:t>立项申请书+共识草案+专利披露表；起草人≥10人</w:t>
            </w:r>
          </w:p>
        </w:tc>
        <w:tc>
          <w:tcPr>
            <w:tcW w:w="1441" w:type="dxa"/>
            <w:vAlign w:val="center"/>
          </w:tcPr>
          <w:p w14:paraId="72F512A3">
            <w:pPr>
              <w:spacing w:after="0" w:line="240" w:lineRule="auto"/>
            </w:pPr>
            <w:r>
              <w:rPr>
                <w:rFonts w:ascii="仿宋" w:hAnsi="仿宋" w:eastAsia="仿宋"/>
                <w:sz w:val="21"/>
              </w:rPr>
              <w:t>申请材料</w:t>
            </w:r>
          </w:p>
        </w:tc>
      </w:tr>
      <w:tr w14:paraId="5E66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205446C4">
            <w:pPr>
              <w:spacing w:after="0" w:line="240" w:lineRule="auto"/>
              <w:jc w:val="center"/>
            </w:pPr>
            <w:r>
              <w:rPr>
                <w:rFonts w:ascii="仿宋" w:hAnsi="仿宋" w:eastAsia="仿宋"/>
                <w:sz w:val="21"/>
              </w:rPr>
              <w:t>3</w:t>
            </w:r>
          </w:p>
        </w:tc>
        <w:tc>
          <w:tcPr>
            <w:tcW w:w="1441" w:type="dxa"/>
            <w:vAlign w:val="center"/>
          </w:tcPr>
          <w:p w14:paraId="5C2B804E">
            <w:pPr>
              <w:spacing w:after="0" w:line="240" w:lineRule="auto"/>
            </w:pPr>
            <w:r>
              <w:rPr>
                <w:rFonts w:ascii="仿宋" w:hAnsi="仿宋" w:eastAsia="仿宋"/>
                <w:sz w:val="21"/>
              </w:rPr>
              <w:t>形式审查</w:t>
            </w:r>
          </w:p>
        </w:tc>
        <w:tc>
          <w:tcPr>
            <w:tcW w:w="1441" w:type="dxa"/>
            <w:vAlign w:val="center"/>
          </w:tcPr>
          <w:p w14:paraId="0BE60588">
            <w:pPr>
              <w:spacing w:after="0" w:line="240" w:lineRule="auto"/>
            </w:pPr>
            <w:r>
              <w:rPr>
                <w:rFonts w:ascii="仿宋" w:hAnsi="仿宋" w:eastAsia="仿宋"/>
                <w:sz w:val="21"/>
              </w:rPr>
              <w:t>标委会</w:t>
            </w:r>
          </w:p>
        </w:tc>
        <w:tc>
          <w:tcPr>
            <w:tcW w:w="1441" w:type="dxa"/>
            <w:vAlign w:val="center"/>
          </w:tcPr>
          <w:p w14:paraId="126EFA0A">
            <w:pPr>
              <w:spacing w:after="0" w:line="240" w:lineRule="auto"/>
            </w:pPr>
            <w:r>
              <w:rPr>
                <w:rFonts w:ascii="仿宋" w:hAnsi="仿宋" w:eastAsia="仿宋"/>
                <w:sz w:val="21"/>
              </w:rPr>
              <w:t>10个工作日内反馈</w:t>
            </w:r>
          </w:p>
        </w:tc>
        <w:tc>
          <w:tcPr>
            <w:tcW w:w="1441" w:type="dxa"/>
            <w:vAlign w:val="center"/>
          </w:tcPr>
          <w:p w14:paraId="467B1DFC">
            <w:pPr>
              <w:spacing w:after="0" w:line="240" w:lineRule="auto"/>
              <w:rPr>
                <w:lang w:eastAsia="zh-CN"/>
              </w:rPr>
            </w:pPr>
            <w:r>
              <w:rPr>
                <w:rFonts w:ascii="仿宋" w:hAnsi="仿宋" w:eastAsia="仿宋"/>
                <w:sz w:val="21"/>
                <w:lang w:eastAsia="zh-CN"/>
              </w:rPr>
              <w:t>材料完整性、格式规范性、资质符合性</w:t>
            </w:r>
          </w:p>
        </w:tc>
        <w:tc>
          <w:tcPr>
            <w:tcW w:w="1441" w:type="dxa"/>
            <w:vAlign w:val="center"/>
          </w:tcPr>
          <w:p w14:paraId="7C3A29E7">
            <w:pPr>
              <w:spacing w:after="0" w:line="240" w:lineRule="auto"/>
            </w:pPr>
            <w:r>
              <w:rPr>
                <w:rFonts w:ascii="仿宋" w:hAnsi="仿宋" w:eastAsia="仿宋"/>
                <w:sz w:val="21"/>
              </w:rPr>
              <w:t>形式审查意见反馈表</w:t>
            </w:r>
          </w:p>
        </w:tc>
      </w:tr>
      <w:tr w14:paraId="688E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shd w:val="clear" w:color="auto" w:fill="D6E8F8"/>
            <w:vAlign w:val="center"/>
          </w:tcPr>
          <w:p w14:paraId="1F9E388B">
            <w:pPr>
              <w:spacing w:after="0" w:line="240" w:lineRule="auto"/>
              <w:jc w:val="center"/>
            </w:pPr>
            <w:r>
              <w:rPr>
                <w:rFonts w:ascii="仿宋" w:hAnsi="仿宋" w:eastAsia="仿宋"/>
                <w:sz w:val="21"/>
              </w:rPr>
              <w:t>4</w:t>
            </w:r>
          </w:p>
        </w:tc>
        <w:tc>
          <w:tcPr>
            <w:tcW w:w="1441" w:type="dxa"/>
            <w:shd w:val="clear" w:color="auto" w:fill="D6E8F8"/>
            <w:vAlign w:val="center"/>
          </w:tcPr>
          <w:p w14:paraId="13EBECF0">
            <w:pPr>
              <w:spacing w:after="0" w:line="240" w:lineRule="auto"/>
            </w:pPr>
            <w:r>
              <w:rPr>
                <w:rFonts w:ascii="仿宋" w:hAnsi="仿宋" w:eastAsia="仿宋"/>
                <w:sz w:val="21"/>
              </w:rPr>
              <w:t>立项论证会★</w:t>
            </w:r>
          </w:p>
        </w:tc>
        <w:tc>
          <w:tcPr>
            <w:tcW w:w="1441" w:type="dxa"/>
            <w:shd w:val="clear" w:color="auto" w:fill="D6E8F8"/>
            <w:vAlign w:val="center"/>
          </w:tcPr>
          <w:p w14:paraId="5CED6EC1">
            <w:pPr>
              <w:spacing w:after="0" w:line="240" w:lineRule="auto"/>
              <w:rPr>
                <w:lang w:eastAsia="zh-CN"/>
              </w:rPr>
            </w:pPr>
            <w:r>
              <w:rPr>
                <w:rFonts w:ascii="仿宋" w:hAnsi="仿宋" w:eastAsia="仿宋"/>
                <w:sz w:val="21"/>
                <w:lang w:eastAsia="zh-CN"/>
              </w:rPr>
              <w:t>标委会组织，≥</w:t>
            </w:r>
            <w:r>
              <w:rPr>
                <w:rFonts w:hint="eastAsia" w:ascii="仿宋" w:hAnsi="仿宋" w:eastAsia="仿宋"/>
                <w:sz w:val="21"/>
                <w:lang w:val="en-US" w:eastAsia="zh-CN"/>
              </w:rPr>
              <w:t>5</w:t>
            </w:r>
            <w:r>
              <w:rPr>
                <w:rFonts w:ascii="仿宋" w:hAnsi="仿宋" w:eastAsia="仿宋"/>
                <w:sz w:val="21"/>
                <w:lang w:eastAsia="zh-CN"/>
              </w:rPr>
              <w:t>名专家</w:t>
            </w:r>
          </w:p>
        </w:tc>
        <w:tc>
          <w:tcPr>
            <w:tcW w:w="1441" w:type="dxa"/>
            <w:shd w:val="clear" w:color="auto" w:fill="D6E8F8"/>
            <w:vAlign w:val="center"/>
          </w:tcPr>
          <w:p w14:paraId="1BBECB77">
            <w:pPr>
              <w:spacing w:after="0" w:line="240" w:lineRule="auto"/>
              <w:rPr>
                <w:rFonts w:hint="default" w:eastAsia="宋体"/>
                <w:lang w:val="en-US" w:eastAsia="zh-CN"/>
              </w:rPr>
            </w:pPr>
            <w:r>
              <w:rPr>
                <w:rFonts w:hint="eastAsia" w:ascii="仿宋" w:hAnsi="仿宋" w:eastAsia="仿宋"/>
                <w:sz w:val="21"/>
                <w:lang w:val="en-US" w:eastAsia="zh-CN"/>
              </w:rPr>
              <w:t>每月月底</w:t>
            </w:r>
          </w:p>
        </w:tc>
        <w:tc>
          <w:tcPr>
            <w:tcW w:w="1441" w:type="dxa"/>
            <w:shd w:val="clear" w:color="auto" w:fill="D6E8F8"/>
            <w:vAlign w:val="center"/>
          </w:tcPr>
          <w:p w14:paraId="0190568C">
            <w:pPr>
              <w:spacing w:after="0" w:line="240" w:lineRule="auto"/>
              <w:rPr>
                <w:lang w:eastAsia="zh-CN"/>
              </w:rPr>
            </w:pPr>
            <w:r>
              <w:rPr>
                <w:rFonts w:ascii="仿宋" w:hAnsi="仿宋" w:eastAsia="仿宋"/>
                <w:sz w:val="21"/>
                <w:lang w:eastAsia="zh-CN"/>
              </w:rPr>
              <w:t>牵头专家答辩+专家投票；≥3/4同意通过；最多2次</w:t>
            </w:r>
          </w:p>
        </w:tc>
        <w:tc>
          <w:tcPr>
            <w:tcW w:w="1441" w:type="dxa"/>
            <w:shd w:val="clear" w:color="auto" w:fill="D6E8F8"/>
            <w:vAlign w:val="center"/>
          </w:tcPr>
          <w:p w14:paraId="1954E2D2">
            <w:pPr>
              <w:spacing w:after="0" w:line="240" w:lineRule="auto"/>
            </w:pPr>
            <w:r>
              <w:rPr>
                <w:rFonts w:ascii="仿宋" w:hAnsi="仿宋" w:eastAsia="仿宋"/>
                <w:sz w:val="21"/>
              </w:rPr>
              <w:t>立项论证结论</w:t>
            </w:r>
          </w:p>
        </w:tc>
      </w:tr>
      <w:tr w14:paraId="2A6A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39391DC9">
            <w:pPr>
              <w:spacing w:after="0" w:line="240" w:lineRule="auto"/>
              <w:jc w:val="center"/>
            </w:pPr>
            <w:r>
              <w:rPr>
                <w:rFonts w:ascii="仿宋" w:hAnsi="仿宋" w:eastAsia="仿宋"/>
                <w:sz w:val="21"/>
              </w:rPr>
              <w:t>5</w:t>
            </w:r>
          </w:p>
        </w:tc>
        <w:tc>
          <w:tcPr>
            <w:tcW w:w="1441" w:type="dxa"/>
            <w:vAlign w:val="center"/>
          </w:tcPr>
          <w:p w14:paraId="5F387BA3">
            <w:pPr>
              <w:spacing w:after="0" w:line="240" w:lineRule="auto"/>
            </w:pPr>
            <w:r>
              <w:rPr>
                <w:rFonts w:ascii="仿宋" w:hAnsi="仿宋" w:eastAsia="仿宋"/>
                <w:sz w:val="21"/>
              </w:rPr>
              <w:t>审议与立项公告</w:t>
            </w:r>
          </w:p>
        </w:tc>
        <w:tc>
          <w:tcPr>
            <w:tcW w:w="1441" w:type="dxa"/>
            <w:vAlign w:val="center"/>
          </w:tcPr>
          <w:p w14:paraId="14EC1155">
            <w:pPr>
              <w:spacing w:after="0" w:line="240" w:lineRule="auto"/>
              <w:rPr>
                <w:lang w:eastAsia="zh-CN"/>
              </w:rPr>
            </w:pPr>
            <w:r>
              <w:rPr>
                <w:rFonts w:ascii="仿宋" w:hAnsi="仿宋" w:eastAsia="仿宋"/>
                <w:sz w:val="21"/>
                <w:lang w:eastAsia="zh-CN"/>
              </w:rPr>
              <w:t>标委会审核</w:t>
            </w:r>
          </w:p>
        </w:tc>
        <w:tc>
          <w:tcPr>
            <w:tcW w:w="1441" w:type="dxa"/>
            <w:vAlign w:val="center"/>
          </w:tcPr>
          <w:p w14:paraId="3F6199AF">
            <w:pPr>
              <w:spacing w:after="0" w:line="240" w:lineRule="auto"/>
            </w:pPr>
            <w:r>
              <w:rPr>
                <w:rFonts w:ascii="仿宋" w:hAnsi="仿宋" w:eastAsia="仿宋"/>
                <w:sz w:val="21"/>
              </w:rPr>
              <w:t>—</w:t>
            </w:r>
          </w:p>
        </w:tc>
        <w:tc>
          <w:tcPr>
            <w:tcW w:w="1441" w:type="dxa"/>
            <w:vAlign w:val="center"/>
          </w:tcPr>
          <w:p w14:paraId="1E51A412">
            <w:pPr>
              <w:spacing w:after="0" w:line="240" w:lineRule="auto"/>
              <w:rPr>
                <w:lang w:eastAsia="zh-CN"/>
              </w:rPr>
            </w:pPr>
            <w:r>
              <w:rPr>
                <w:rFonts w:ascii="仿宋" w:hAnsi="仿宋" w:eastAsia="仿宋"/>
                <w:sz w:val="21"/>
                <w:lang w:eastAsia="zh-CN"/>
              </w:rPr>
              <w:t>官网发布立项公告，公示7个工作日</w:t>
            </w:r>
          </w:p>
        </w:tc>
        <w:tc>
          <w:tcPr>
            <w:tcW w:w="1441" w:type="dxa"/>
            <w:vAlign w:val="center"/>
          </w:tcPr>
          <w:p w14:paraId="3D1003AE">
            <w:pPr>
              <w:spacing w:after="0" w:line="240" w:lineRule="auto"/>
            </w:pPr>
            <w:r>
              <w:rPr>
                <w:rFonts w:ascii="仿宋" w:hAnsi="仿宋" w:eastAsia="仿宋"/>
                <w:sz w:val="21"/>
              </w:rPr>
              <w:t>正式立项通知</w:t>
            </w:r>
          </w:p>
        </w:tc>
      </w:tr>
      <w:tr w14:paraId="7E3E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416C29E9">
            <w:pPr>
              <w:spacing w:after="0" w:line="240" w:lineRule="auto"/>
              <w:jc w:val="center"/>
            </w:pPr>
            <w:r>
              <w:rPr>
                <w:rFonts w:ascii="仿宋" w:hAnsi="仿宋" w:eastAsia="仿宋"/>
                <w:sz w:val="21"/>
              </w:rPr>
              <w:t>6</w:t>
            </w:r>
          </w:p>
        </w:tc>
        <w:tc>
          <w:tcPr>
            <w:tcW w:w="1441" w:type="dxa"/>
            <w:vAlign w:val="center"/>
          </w:tcPr>
          <w:p w14:paraId="6D90A7D5">
            <w:pPr>
              <w:spacing w:after="0" w:line="240" w:lineRule="auto"/>
            </w:pPr>
            <w:r>
              <w:rPr>
                <w:rFonts w:ascii="仿宋" w:hAnsi="仿宋" w:eastAsia="仿宋"/>
                <w:sz w:val="21"/>
              </w:rPr>
              <w:t>签订合作协议</w:t>
            </w:r>
          </w:p>
        </w:tc>
        <w:tc>
          <w:tcPr>
            <w:tcW w:w="1441" w:type="dxa"/>
            <w:vAlign w:val="center"/>
          </w:tcPr>
          <w:p w14:paraId="61838E90">
            <w:pPr>
              <w:spacing w:after="0" w:line="240" w:lineRule="auto"/>
              <w:rPr>
                <w:rFonts w:hint="default" w:eastAsia="宋体"/>
                <w:lang w:val="en-US" w:eastAsia="zh-CN"/>
              </w:rPr>
            </w:pPr>
            <w:r>
              <w:rPr>
                <w:rFonts w:hint="eastAsia" w:ascii="仿宋" w:hAnsi="仿宋" w:eastAsia="仿宋"/>
                <w:sz w:val="21"/>
                <w:lang w:val="en-US" w:eastAsia="zh-CN"/>
              </w:rPr>
              <w:t>牵头组织单位</w:t>
            </w:r>
          </w:p>
        </w:tc>
        <w:tc>
          <w:tcPr>
            <w:tcW w:w="1441" w:type="dxa"/>
            <w:vAlign w:val="center"/>
          </w:tcPr>
          <w:p w14:paraId="0F0111A4">
            <w:pPr>
              <w:spacing w:after="0" w:line="240" w:lineRule="auto"/>
            </w:pPr>
            <w:r>
              <w:rPr>
                <w:rFonts w:ascii="仿宋" w:hAnsi="仿宋" w:eastAsia="仿宋"/>
                <w:sz w:val="21"/>
              </w:rPr>
              <w:t>立项后1个月内</w:t>
            </w:r>
          </w:p>
        </w:tc>
        <w:tc>
          <w:tcPr>
            <w:tcW w:w="1441" w:type="dxa"/>
            <w:vAlign w:val="center"/>
          </w:tcPr>
          <w:p w14:paraId="370E8690">
            <w:pPr>
              <w:spacing w:after="0" w:line="240" w:lineRule="auto"/>
              <w:rPr>
                <w:lang w:eastAsia="zh-CN"/>
              </w:rPr>
            </w:pPr>
            <w:r>
              <w:rPr>
                <w:rFonts w:ascii="仿宋" w:hAnsi="仿宋" w:eastAsia="仿宋"/>
                <w:sz w:val="21"/>
                <w:lang w:eastAsia="zh-CN"/>
              </w:rPr>
              <w:t>明确权利义务、经费使用、成果归属、保密要求</w:t>
            </w:r>
          </w:p>
        </w:tc>
        <w:tc>
          <w:tcPr>
            <w:tcW w:w="1441" w:type="dxa"/>
            <w:vAlign w:val="center"/>
          </w:tcPr>
          <w:p w14:paraId="434D0ED0">
            <w:pPr>
              <w:spacing w:after="0" w:line="240" w:lineRule="auto"/>
            </w:pPr>
            <w:r>
              <w:rPr>
                <w:rFonts w:ascii="仿宋" w:hAnsi="仿宋" w:eastAsia="仿宋"/>
                <w:sz w:val="21"/>
              </w:rPr>
              <w:t>合作协议</w:t>
            </w:r>
          </w:p>
        </w:tc>
      </w:tr>
    </w:tbl>
    <w:p w14:paraId="324BD1F5">
      <w:pPr>
        <w:spacing w:before="280" w:after="160"/>
        <w:rPr>
          <w:lang w:eastAsia="zh-CN"/>
        </w:rPr>
      </w:pPr>
      <w:r>
        <w:rPr>
          <w:rFonts w:ascii="黑体" w:hAnsi="黑体" w:eastAsia="黑体"/>
          <w:b/>
          <w:color w:val="52B788"/>
          <w:sz w:val="30"/>
          <w:lang w:eastAsia="zh-CN"/>
        </w:rPr>
        <w:t>第二阶段：编制（≤12个月）</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1505"/>
        <w:gridCol w:w="1395"/>
        <w:gridCol w:w="1209"/>
        <w:gridCol w:w="2061"/>
        <w:gridCol w:w="1314"/>
      </w:tblGrid>
      <w:tr w14:paraId="61A9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shd w:val="clear" w:color="auto" w:fill="52B788"/>
            <w:vAlign w:val="center"/>
          </w:tcPr>
          <w:p w14:paraId="21C27C59">
            <w:pPr>
              <w:spacing w:after="0" w:line="240" w:lineRule="auto"/>
              <w:jc w:val="center"/>
            </w:pPr>
            <w:r>
              <w:rPr>
                <w:rFonts w:ascii="黑体" w:hAnsi="黑体" w:eastAsia="黑体"/>
                <w:b/>
                <w:color w:val="FFFFFF"/>
              </w:rPr>
              <w:t>序号</w:t>
            </w:r>
          </w:p>
        </w:tc>
        <w:tc>
          <w:tcPr>
            <w:tcW w:w="1814" w:type="dxa"/>
            <w:shd w:val="clear" w:color="auto" w:fill="52B788"/>
            <w:vAlign w:val="center"/>
          </w:tcPr>
          <w:p w14:paraId="3D291BBA">
            <w:pPr>
              <w:spacing w:after="0" w:line="240" w:lineRule="auto"/>
              <w:jc w:val="center"/>
            </w:pPr>
            <w:r>
              <w:rPr>
                <w:rFonts w:ascii="黑体" w:hAnsi="黑体" w:eastAsia="黑体"/>
                <w:b/>
                <w:color w:val="FFFFFF"/>
              </w:rPr>
              <w:t>环节名称</w:t>
            </w:r>
          </w:p>
        </w:tc>
        <w:tc>
          <w:tcPr>
            <w:tcW w:w="1701" w:type="dxa"/>
            <w:shd w:val="clear" w:color="auto" w:fill="52B788"/>
            <w:vAlign w:val="center"/>
          </w:tcPr>
          <w:p w14:paraId="6D198DA7">
            <w:pPr>
              <w:spacing w:after="0" w:line="240" w:lineRule="auto"/>
              <w:jc w:val="center"/>
            </w:pPr>
            <w:r>
              <w:rPr>
                <w:rFonts w:ascii="黑体" w:hAnsi="黑体" w:eastAsia="黑体"/>
                <w:b/>
                <w:color w:val="FFFFFF"/>
              </w:rPr>
              <w:t>责任主体</w:t>
            </w:r>
          </w:p>
        </w:tc>
        <w:tc>
          <w:tcPr>
            <w:tcW w:w="1247" w:type="dxa"/>
            <w:shd w:val="clear" w:color="auto" w:fill="52B788"/>
            <w:vAlign w:val="center"/>
          </w:tcPr>
          <w:p w14:paraId="085C2CC4">
            <w:pPr>
              <w:spacing w:after="0" w:line="240" w:lineRule="auto"/>
              <w:jc w:val="center"/>
            </w:pPr>
            <w:r>
              <w:rPr>
                <w:rFonts w:ascii="黑体" w:hAnsi="黑体" w:eastAsia="黑体"/>
                <w:b/>
                <w:color w:val="FFFFFF"/>
              </w:rPr>
              <w:t>时间/周期</w:t>
            </w:r>
          </w:p>
        </w:tc>
        <w:tc>
          <w:tcPr>
            <w:tcW w:w="2551" w:type="dxa"/>
            <w:shd w:val="clear" w:color="auto" w:fill="52B788"/>
            <w:vAlign w:val="center"/>
          </w:tcPr>
          <w:p w14:paraId="532E20A9">
            <w:pPr>
              <w:spacing w:after="0" w:line="240" w:lineRule="auto"/>
              <w:jc w:val="center"/>
            </w:pPr>
            <w:r>
              <w:rPr>
                <w:rFonts w:ascii="黑体" w:hAnsi="黑体" w:eastAsia="黑体"/>
                <w:b/>
                <w:color w:val="FFFFFF"/>
              </w:rPr>
              <w:t>主要内容与要求</w:t>
            </w:r>
          </w:p>
        </w:tc>
        <w:tc>
          <w:tcPr>
            <w:tcW w:w="1587" w:type="dxa"/>
            <w:shd w:val="clear" w:color="auto" w:fill="52B788"/>
            <w:vAlign w:val="center"/>
          </w:tcPr>
          <w:p w14:paraId="2BA7DBD9">
            <w:pPr>
              <w:spacing w:after="0" w:line="240" w:lineRule="auto"/>
              <w:jc w:val="center"/>
            </w:pPr>
            <w:r>
              <w:rPr>
                <w:rFonts w:ascii="黑体" w:hAnsi="黑体" w:eastAsia="黑体"/>
                <w:b/>
                <w:color w:val="FFFFFF"/>
              </w:rPr>
              <w:t>输出成果</w:t>
            </w:r>
          </w:p>
        </w:tc>
      </w:tr>
      <w:tr w14:paraId="245C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4A80A5AA">
            <w:pPr>
              <w:spacing w:after="0" w:line="240" w:lineRule="auto"/>
              <w:jc w:val="center"/>
            </w:pPr>
            <w:r>
              <w:rPr>
                <w:rFonts w:ascii="仿宋" w:hAnsi="仿宋" w:eastAsia="仿宋"/>
                <w:sz w:val="21"/>
              </w:rPr>
              <w:t>7</w:t>
            </w:r>
          </w:p>
        </w:tc>
        <w:tc>
          <w:tcPr>
            <w:tcW w:w="1441" w:type="dxa"/>
            <w:vAlign w:val="center"/>
          </w:tcPr>
          <w:p w14:paraId="44603550">
            <w:pPr>
              <w:spacing w:after="0" w:line="240" w:lineRule="auto"/>
            </w:pPr>
            <w:r>
              <w:rPr>
                <w:rFonts w:ascii="仿宋" w:hAnsi="仿宋" w:eastAsia="仿宋"/>
                <w:sz w:val="21"/>
              </w:rPr>
              <w:t>组建工作组与启动会</w:t>
            </w:r>
          </w:p>
        </w:tc>
        <w:tc>
          <w:tcPr>
            <w:tcW w:w="1441" w:type="dxa"/>
            <w:vAlign w:val="center"/>
          </w:tcPr>
          <w:p w14:paraId="39EA0DA3">
            <w:pPr>
              <w:spacing w:after="0" w:line="240" w:lineRule="auto"/>
              <w:rPr>
                <w:lang w:eastAsia="zh-CN"/>
              </w:rPr>
            </w:pPr>
            <w:r>
              <w:rPr>
                <w:rFonts w:ascii="仿宋" w:hAnsi="仿宋" w:eastAsia="仿宋"/>
                <w:sz w:val="21"/>
                <w:lang w:eastAsia="zh-CN"/>
              </w:rPr>
              <w:t>主研单位，标委会派员参加</w:t>
            </w:r>
          </w:p>
        </w:tc>
        <w:tc>
          <w:tcPr>
            <w:tcW w:w="1441" w:type="dxa"/>
            <w:vAlign w:val="center"/>
          </w:tcPr>
          <w:p w14:paraId="6319FC4E">
            <w:pPr>
              <w:spacing w:after="0" w:line="240" w:lineRule="auto"/>
            </w:pPr>
            <w:r>
              <w:rPr>
                <w:rFonts w:ascii="仿宋" w:hAnsi="仿宋" w:eastAsia="仿宋"/>
                <w:sz w:val="21"/>
              </w:rPr>
              <w:t>立项后1个月内</w:t>
            </w:r>
          </w:p>
        </w:tc>
        <w:tc>
          <w:tcPr>
            <w:tcW w:w="1441" w:type="dxa"/>
            <w:vAlign w:val="center"/>
          </w:tcPr>
          <w:p w14:paraId="76F13139">
            <w:pPr>
              <w:spacing w:after="0" w:line="240" w:lineRule="auto"/>
              <w:rPr>
                <w:lang w:eastAsia="zh-CN"/>
              </w:rPr>
            </w:pPr>
            <w:r>
              <w:rPr>
                <w:rFonts w:ascii="仿宋" w:hAnsi="仿宋" w:eastAsia="仿宋"/>
                <w:sz w:val="21"/>
                <w:lang w:eastAsia="zh-CN"/>
              </w:rPr>
              <w:t>牵头专家1名+核心专家≥10名+秘书1-2名</w:t>
            </w:r>
          </w:p>
        </w:tc>
        <w:tc>
          <w:tcPr>
            <w:tcW w:w="1441" w:type="dxa"/>
            <w:vAlign w:val="center"/>
          </w:tcPr>
          <w:p w14:paraId="1DFA3F56">
            <w:pPr>
              <w:spacing w:after="0" w:line="240" w:lineRule="auto"/>
              <w:rPr>
                <w:lang w:eastAsia="zh-CN"/>
              </w:rPr>
            </w:pPr>
            <w:r>
              <w:rPr>
                <w:rFonts w:ascii="仿宋" w:hAnsi="仿宋" w:eastAsia="仿宋"/>
                <w:sz w:val="21"/>
                <w:lang w:eastAsia="zh-CN"/>
              </w:rPr>
              <w:t>技术路线、任务分工、时间节点</w:t>
            </w:r>
          </w:p>
        </w:tc>
      </w:tr>
      <w:tr w14:paraId="5DB2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0BECCB8D">
            <w:pPr>
              <w:spacing w:after="0" w:line="240" w:lineRule="auto"/>
              <w:jc w:val="center"/>
            </w:pPr>
            <w:r>
              <w:rPr>
                <w:rFonts w:ascii="仿宋" w:hAnsi="仿宋" w:eastAsia="仿宋"/>
                <w:sz w:val="21"/>
              </w:rPr>
              <w:t>8</w:t>
            </w:r>
          </w:p>
        </w:tc>
        <w:tc>
          <w:tcPr>
            <w:tcW w:w="1441" w:type="dxa"/>
            <w:vAlign w:val="center"/>
          </w:tcPr>
          <w:p w14:paraId="1649A289">
            <w:pPr>
              <w:spacing w:after="0" w:line="240" w:lineRule="auto"/>
            </w:pPr>
            <w:r>
              <w:rPr>
                <w:rFonts w:ascii="仿宋" w:hAnsi="仿宋" w:eastAsia="仿宋"/>
                <w:sz w:val="21"/>
              </w:rPr>
              <w:t>证据系统评价</w:t>
            </w:r>
          </w:p>
        </w:tc>
        <w:tc>
          <w:tcPr>
            <w:tcW w:w="1441" w:type="dxa"/>
            <w:vAlign w:val="center"/>
          </w:tcPr>
          <w:p w14:paraId="21ED3218">
            <w:pPr>
              <w:spacing w:after="0" w:line="240" w:lineRule="auto"/>
            </w:pPr>
            <w:r>
              <w:rPr>
                <w:rFonts w:ascii="仿宋" w:hAnsi="仿宋" w:eastAsia="仿宋"/>
                <w:sz w:val="21"/>
              </w:rPr>
              <w:t>项目工作组</w:t>
            </w:r>
          </w:p>
        </w:tc>
        <w:tc>
          <w:tcPr>
            <w:tcW w:w="1441" w:type="dxa"/>
            <w:vAlign w:val="center"/>
          </w:tcPr>
          <w:p w14:paraId="23A791C5">
            <w:pPr>
              <w:spacing w:after="0" w:line="240" w:lineRule="auto"/>
            </w:pPr>
            <w:r>
              <w:rPr>
                <w:rFonts w:ascii="仿宋" w:hAnsi="仿宋" w:eastAsia="仿宋"/>
                <w:sz w:val="21"/>
              </w:rPr>
              <w:t>—</w:t>
            </w:r>
          </w:p>
        </w:tc>
        <w:tc>
          <w:tcPr>
            <w:tcW w:w="1441" w:type="dxa"/>
            <w:vAlign w:val="center"/>
          </w:tcPr>
          <w:p w14:paraId="6E8FFE3E">
            <w:pPr>
              <w:spacing w:after="0" w:line="240" w:lineRule="auto"/>
              <w:rPr>
                <w:lang w:eastAsia="zh-CN"/>
              </w:rPr>
            </w:pPr>
            <w:r>
              <w:rPr>
                <w:rFonts w:ascii="仿宋" w:hAnsi="仿宋" w:eastAsia="仿宋"/>
                <w:sz w:val="21"/>
                <w:lang w:eastAsia="zh-CN"/>
              </w:rPr>
              <w:t>系统文献检索+GRADE证据分级；覆盖文献、法规、报告、专利</w:t>
            </w:r>
          </w:p>
        </w:tc>
        <w:tc>
          <w:tcPr>
            <w:tcW w:w="1441" w:type="dxa"/>
            <w:vAlign w:val="center"/>
          </w:tcPr>
          <w:p w14:paraId="25197BE6">
            <w:pPr>
              <w:spacing w:after="0" w:line="240" w:lineRule="auto"/>
            </w:pPr>
            <w:r>
              <w:rPr>
                <w:rFonts w:ascii="仿宋" w:hAnsi="仿宋" w:eastAsia="仿宋"/>
                <w:sz w:val="21"/>
              </w:rPr>
              <w:t>证据评价报告</w:t>
            </w:r>
          </w:p>
        </w:tc>
      </w:tr>
      <w:tr w14:paraId="0213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3312632E">
            <w:pPr>
              <w:spacing w:after="0" w:line="240" w:lineRule="auto"/>
              <w:jc w:val="center"/>
            </w:pPr>
            <w:r>
              <w:rPr>
                <w:rFonts w:ascii="仿宋" w:hAnsi="仿宋" w:eastAsia="仿宋"/>
                <w:sz w:val="21"/>
              </w:rPr>
              <w:t>9</w:t>
            </w:r>
          </w:p>
        </w:tc>
        <w:tc>
          <w:tcPr>
            <w:tcW w:w="1441" w:type="dxa"/>
            <w:vAlign w:val="center"/>
          </w:tcPr>
          <w:p w14:paraId="6373B0C1">
            <w:pPr>
              <w:spacing w:after="0" w:line="240" w:lineRule="auto"/>
            </w:pPr>
            <w:r>
              <w:rPr>
                <w:rFonts w:ascii="仿宋" w:hAnsi="仿宋" w:eastAsia="仿宋"/>
                <w:sz w:val="21"/>
              </w:rPr>
              <w:t>共识草案起草</w:t>
            </w:r>
          </w:p>
        </w:tc>
        <w:tc>
          <w:tcPr>
            <w:tcW w:w="1441" w:type="dxa"/>
            <w:vAlign w:val="center"/>
          </w:tcPr>
          <w:p w14:paraId="6850BC2B">
            <w:pPr>
              <w:spacing w:after="0" w:line="240" w:lineRule="auto"/>
            </w:pPr>
            <w:r>
              <w:rPr>
                <w:rFonts w:ascii="仿宋" w:hAnsi="仿宋" w:eastAsia="仿宋"/>
                <w:sz w:val="21"/>
              </w:rPr>
              <w:t>项目工作组</w:t>
            </w:r>
          </w:p>
        </w:tc>
        <w:tc>
          <w:tcPr>
            <w:tcW w:w="1441" w:type="dxa"/>
            <w:vAlign w:val="center"/>
          </w:tcPr>
          <w:p w14:paraId="7C4FB893">
            <w:pPr>
              <w:spacing w:after="0" w:line="240" w:lineRule="auto"/>
            </w:pPr>
            <w:r>
              <w:rPr>
                <w:rFonts w:ascii="仿宋" w:hAnsi="仿宋" w:eastAsia="仿宋"/>
                <w:sz w:val="21"/>
              </w:rPr>
              <w:t>—</w:t>
            </w:r>
          </w:p>
        </w:tc>
        <w:tc>
          <w:tcPr>
            <w:tcW w:w="1441" w:type="dxa"/>
            <w:vAlign w:val="center"/>
          </w:tcPr>
          <w:p w14:paraId="1968E261">
            <w:pPr>
              <w:spacing w:after="0" w:line="240" w:lineRule="auto"/>
              <w:rPr>
                <w:lang w:eastAsia="zh-CN"/>
              </w:rPr>
            </w:pPr>
            <w:r>
              <w:rPr>
                <w:rFonts w:ascii="仿宋" w:hAnsi="仿宋" w:eastAsia="仿宋"/>
                <w:sz w:val="21"/>
                <w:lang w:eastAsia="zh-CN"/>
              </w:rPr>
              <w:t>前言、术语定义、共识正文、推荐意见及证据等级、利益冲突声明、参考文献</w:t>
            </w:r>
          </w:p>
        </w:tc>
        <w:tc>
          <w:tcPr>
            <w:tcW w:w="1441" w:type="dxa"/>
            <w:vAlign w:val="center"/>
          </w:tcPr>
          <w:p w14:paraId="67C16A31">
            <w:pPr>
              <w:spacing w:after="0" w:line="240" w:lineRule="auto"/>
            </w:pPr>
            <w:r>
              <w:rPr>
                <w:rFonts w:ascii="仿宋" w:hAnsi="仿宋" w:eastAsia="仿宋"/>
                <w:sz w:val="21"/>
              </w:rPr>
              <w:t>共识草案</w:t>
            </w:r>
          </w:p>
        </w:tc>
      </w:tr>
      <w:tr w14:paraId="4FA7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4EB34921">
            <w:pPr>
              <w:spacing w:after="0" w:line="240" w:lineRule="auto"/>
              <w:jc w:val="center"/>
            </w:pPr>
            <w:r>
              <w:rPr>
                <w:rFonts w:ascii="仿宋" w:hAnsi="仿宋" w:eastAsia="仿宋"/>
                <w:sz w:val="21"/>
              </w:rPr>
              <w:t>10</w:t>
            </w:r>
          </w:p>
        </w:tc>
        <w:tc>
          <w:tcPr>
            <w:tcW w:w="1441" w:type="dxa"/>
            <w:vAlign w:val="center"/>
          </w:tcPr>
          <w:p w14:paraId="4F0959E5">
            <w:pPr>
              <w:spacing w:after="0" w:line="240" w:lineRule="auto"/>
            </w:pPr>
            <w:r>
              <w:rPr>
                <w:rFonts w:ascii="仿宋" w:hAnsi="仿宋" w:eastAsia="仿宋"/>
                <w:sz w:val="21"/>
              </w:rPr>
              <w:t>德尔菲函询（≥2轮）</w:t>
            </w:r>
          </w:p>
        </w:tc>
        <w:tc>
          <w:tcPr>
            <w:tcW w:w="1441" w:type="dxa"/>
            <w:vAlign w:val="center"/>
          </w:tcPr>
          <w:p w14:paraId="34CA8E0B">
            <w:pPr>
              <w:spacing w:after="0" w:line="240" w:lineRule="auto"/>
              <w:rPr>
                <w:lang w:eastAsia="zh-CN"/>
              </w:rPr>
            </w:pPr>
            <w:r>
              <w:rPr>
                <w:rFonts w:ascii="仿宋" w:hAnsi="仿宋" w:eastAsia="仿宋"/>
                <w:sz w:val="21"/>
                <w:lang w:eastAsia="zh-CN"/>
              </w:rPr>
              <w:t>项目工作组，≥15名专家</w:t>
            </w:r>
          </w:p>
        </w:tc>
        <w:tc>
          <w:tcPr>
            <w:tcW w:w="1441" w:type="dxa"/>
            <w:vAlign w:val="center"/>
          </w:tcPr>
          <w:p w14:paraId="59B80C65">
            <w:pPr>
              <w:spacing w:after="0" w:line="240" w:lineRule="auto"/>
            </w:pPr>
            <w:r>
              <w:rPr>
                <w:rFonts w:ascii="仿宋" w:hAnsi="仿宋" w:eastAsia="仿宋"/>
                <w:sz w:val="21"/>
              </w:rPr>
              <w:t>—</w:t>
            </w:r>
          </w:p>
        </w:tc>
        <w:tc>
          <w:tcPr>
            <w:tcW w:w="1441" w:type="dxa"/>
            <w:vAlign w:val="center"/>
          </w:tcPr>
          <w:p w14:paraId="04C054B7">
            <w:pPr>
              <w:spacing w:after="0" w:line="240" w:lineRule="auto"/>
              <w:rPr>
                <w:lang w:eastAsia="zh-CN"/>
              </w:rPr>
            </w:pPr>
            <w:r>
              <w:rPr>
                <w:rFonts w:ascii="仿宋" w:hAnsi="仿宋" w:eastAsia="仿宋"/>
                <w:sz w:val="21"/>
                <w:lang w:eastAsia="zh-CN"/>
              </w:rPr>
              <w:t>多轮匿名函询，计算同意率、变异系数；同意率≥75%方可纳入推荐意见</w:t>
            </w:r>
          </w:p>
        </w:tc>
        <w:tc>
          <w:tcPr>
            <w:tcW w:w="1441" w:type="dxa"/>
            <w:vAlign w:val="center"/>
          </w:tcPr>
          <w:p w14:paraId="617E91AC">
            <w:pPr>
              <w:spacing w:after="0" w:line="240" w:lineRule="auto"/>
            </w:pPr>
            <w:r>
              <w:rPr>
                <w:rFonts w:ascii="仿宋" w:hAnsi="仿宋" w:eastAsia="仿宋"/>
                <w:sz w:val="21"/>
              </w:rPr>
              <w:t>函询汇总报告</w:t>
            </w:r>
          </w:p>
        </w:tc>
      </w:tr>
      <w:tr w14:paraId="0BA8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62FD3BEA">
            <w:pPr>
              <w:spacing w:after="0" w:line="240" w:lineRule="auto"/>
              <w:jc w:val="center"/>
            </w:pPr>
            <w:r>
              <w:rPr>
                <w:rFonts w:ascii="仿宋" w:hAnsi="仿宋" w:eastAsia="仿宋"/>
                <w:sz w:val="21"/>
              </w:rPr>
              <w:t>11</w:t>
            </w:r>
          </w:p>
        </w:tc>
        <w:tc>
          <w:tcPr>
            <w:tcW w:w="1441" w:type="dxa"/>
            <w:vAlign w:val="center"/>
          </w:tcPr>
          <w:p w14:paraId="27F065E9">
            <w:pPr>
              <w:spacing w:after="0" w:line="240" w:lineRule="auto"/>
            </w:pPr>
            <w:r>
              <w:rPr>
                <w:rFonts w:ascii="仿宋" w:hAnsi="仿宋" w:eastAsia="仿宋"/>
                <w:sz w:val="21"/>
              </w:rPr>
              <w:t>公开征求意见</w:t>
            </w:r>
          </w:p>
        </w:tc>
        <w:tc>
          <w:tcPr>
            <w:tcW w:w="1441" w:type="dxa"/>
            <w:vAlign w:val="center"/>
          </w:tcPr>
          <w:p w14:paraId="4C8276AF">
            <w:pPr>
              <w:spacing w:after="0" w:line="240" w:lineRule="auto"/>
            </w:pPr>
            <w:r>
              <w:rPr>
                <w:rFonts w:ascii="仿宋" w:hAnsi="仿宋" w:eastAsia="仿宋"/>
                <w:sz w:val="21"/>
              </w:rPr>
              <w:t>标委会在官网发布</w:t>
            </w:r>
          </w:p>
        </w:tc>
        <w:tc>
          <w:tcPr>
            <w:tcW w:w="1441" w:type="dxa"/>
            <w:vAlign w:val="center"/>
          </w:tcPr>
          <w:p w14:paraId="440FE5A6">
            <w:pPr>
              <w:spacing w:after="0" w:line="240" w:lineRule="auto"/>
            </w:pPr>
            <w:r>
              <w:rPr>
                <w:rFonts w:ascii="仿宋" w:hAnsi="仿宋" w:eastAsia="仿宋"/>
                <w:sz w:val="21"/>
              </w:rPr>
              <w:t>≥30日</w:t>
            </w:r>
          </w:p>
        </w:tc>
        <w:tc>
          <w:tcPr>
            <w:tcW w:w="1441" w:type="dxa"/>
            <w:vAlign w:val="center"/>
          </w:tcPr>
          <w:p w14:paraId="30E9F57C">
            <w:pPr>
              <w:spacing w:after="0" w:line="240" w:lineRule="auto"/>
              <w:rPr>
                <w:lang w:eastAsia="zh-CN"/>
              </w:rPr>
            </w:pPr>
            <w:r>
              <w:rPr>
                <w:rFonts w:ascii="仿宋" w:hAnsi="仿宋" w:eastAsia="仿宋"/>
                <w:sz w:val="21"/>
                <w:lang w:eastAsia="zh-CN"/>
              </w:rPr>
              <w:t>逐条分析处理，填写《征求意见汇总处理表》</w:t>
            </w:r>
          </w:p>
        </w:tc>
        <w:tc>
          <w:tcPr>
            <w:tcW w:w="1441" w:type="dxa"/>
            <w:vAlign w:val="center"/>
          </w:tcPr>
          <w:p w14:paraId="1A7B6A45">
            <w:pPr>
              <w:spacing w:after="0" w:line="240" w:lineRule="auto"/>
            </w:pPr>
            <w:r>
              <w:rPr>
                <w:rFonts w:ascii="仿宋" w:hAnsi="仿宋" w:eastAsia="仿宋"/>
                <w:sz w:val="21"/>
              </w:rPr>
              <w:t>意见汇总处理表</w:t>
            </w:r>
          </w:p>
        </w:tc>
      </w:tr>
      <w:tr w14:paraId="7BC7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5D15F74E">
            <w:pPr>
              <w:spacing w:after="0" w:line="240" w:lineRule="auto"/>
              <w:jc w:val="center"/>
            </w:pPr>
            <w:r>
              <w:rPr>
                <w:rFonts w:ascii="仿宋" w:hAnsi="仿宋" w:eastAsia="仿宋"/>
                <w:sz w:val="21"/>
              </w:rPr>
              <w:t>12</w:t>
            </w:r>
          </w:p>
        </w:tc>
        <w:tc>
          <w:tcPr>
            <w:tcW w:w="1441" w:type="dxa"/>
            <w:vAlign w:val="center"/>
          </w:tcPr>
          <w:p w14:paraId="2EBD43D4">
            <w:pPr>
              <w:spacing w:after="0" w:line="240" w:lineRule="auto"/>
            </w:pPr>
            <w:r>
              <w:rPr>
                <w:rFonts w:ascii="仿宋" w:hAnsi="仿宋" w:eastAsia="仿宋"/>
                <w:sz w:val="21"/>
              </w:rPr>
              <w:t>形成送审稿</w:t>
            </w:r>
          </w:p>
        </w:tc>
        <w:tc>
          <w:tcPr>
            <w:tcW w:w="1441" w:type="dxa"/>
            <w:vAlign w:val="center"/>
          </w:tcPr>
          <w:p w14:paraId="2DDFE359">
            <w:pPr>
              <w:spacing w:after="0" w:line="240" w:lineRule="auto"/>
            </w:pPr>
            <w:r>
              <w:rPr>
                <w:rFonts w:ascii="仿宋" w:hAnsi="仿宋" w:eastAsia="仿宋"/>
                <w:sz w:val="21"/>
              </w:rPr>
              <w:t>项目工作组</w:t>
            </w:r>
          </w:p>
        </w:tc>
        <w:tc>
          <w:tcPr>
            <w:tcW w:w="1441" w:type="dxa"/>
            <w:vAlign w:val="center"/>
          </w:tcPr>
          <w:p w14:paraId="0121A42E">
            <w:pPr>
              <w:spacing w:after="0" w:line="240" w:lineRule="auto"/>
            </w:pPr>
            <w:r>
              <w:rPr>
                <w:rFonts w:ascii="仿宋" w:hAnsi="仿宋" w:eastAsia="仿宋"/>
                <w:sz w:val="21"/>
              </w:rPr>
              <w:t>—</w:t>
            </w:r>
          </w:p>
        </w:tc>
        <w:tc>
          <w:tcPr>
            <w:tcW w:w="1441" w:type="dxa"/>
            <w:vAlign w:val="center"/>
          </w:tcPr>
          <w:p w14:paraId="02A419D5">
            <w:pPr>
              <w:spacing w:after="0" w:line="240" w:lineRule="auto"/>
              <w:rPr>
                <w:lang w:eastAsia="zh-CN"/>
              </w:rPr>
            </w:pPr>
            <w:r>
              <w:rPr>
                <w:rFonts w:ascii="仿宋" w:hAnsi="仿宋" w:eastAsia="仿宋"/>
                <w:sz w:val="21"/>
                <w:lang w:eastAsia="zh-CN"/>
              </w:rPr>
              <w:t>专家共识送审稿+编制说明（背景、过程、依据、意见处理、分歧处理）</w:t>
            </w:r>
          </w:p>
        </w:tc>
        <w:tc>
          <w:tcPr>
            <w:tcW w:w="1441" w:type="dxa"/>
            <w:vAlign w:val="center"/>
          </w:tcPr>
          <w:p w14:paraId="6C7FBECB">
            <w:pPr>
              <w:spacing w:after="0" w:line="240" w:lineRule="auto"/>
            </w:pPr>
            <w:r>
              <w:rPr>
                <w:rFonts w:ascii="仿宋" w:hAnsi="仿宋" w:eastAsia="仿宋"/>
                <w:sz w:val="21"/>
              </w:rPr>
              <w:t>送审稿及编制说明</w:t>
            </w:r>
          </w:p>
        </w:tc>
      </w:tr>
    </w:tbl>
    <w:p w14:paraId="2B27FC1F">
      <w:pPr>
        <w:spacing w:before="280" w:after="160"/>
      </w:pPr>
      <w:r>
        <w:rPr>
          <w:rFonts w:ascii="黑体" w:hAnsi="黑体" w:eastAsia="黑体"/>
          <w:b/>
          <w:color w:val="F4A261"/>
          <w:sz w:val="30"/>
        </w:rPr>
        <w:t>第三阶段：审查</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504"/>
        <w:gridCol w:w="1421"/>
        <w:gridCol w:w="1177"/>
        <w:gridCol w:w="2074"/>
        <w:gridCol w:w="1284"/>
      </w:tblGrid>
      <w:tr w14:paraId="056D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7" w:type="dxa"/>
            <w:shd w:val="clear" w:color="auto" w:fill="F4A261"/>
            <w:vAlign w:val="center"/>
          </w:tcPr>
          <w:p w14:paraId="37FFEA48">
            <w:pPr>
              <w:spacing w:after="0" w:line="240" w:lineRule="auto"/>
              <w:jc w:val="center"/>
            </w:pPr>
            <w:r>
              <w:rPr>
                <w:rFonts w:ascii="黑体" w:hAnsi="黑体" w:eastAsia="黑体"/>
                <w:b/>
                <w:color w:val="FFFFFF"/>
              </w:rPr>
              <w:t>序号</w:t>
            </w:r>
          </w:p>
        </w:tc>
        <w:tc>
          <w:tcPr>
            <w:tcW w:w="1814" w:type="dxa"/>
            <w:shd w:val="clear" w:color="auto" w:fill="F4A261"/>
            <w:vAlign w:val="center"/>
          </w:tcPr>
          <w:p w14:paraId="6FCBAEC2">
            <w:pPr>
              <w:spacing w:after="0" w:line="240" w:lineRule="auto"/>
              <w:jc w:val="center"/>
            </w:pPr>
            <w:r>
              <w:rPr>
                <w:rFonts w:ascii="黑体" w:hAnsi="黑体" w:eastAsia="黑体"/>
                <w:b/>
                <w:color w:val="FFFFFF"/>
              </w:rPr>
              <w:t>环节名称</w:t>
            </w:r>
          </w:p>
        </w:tc>
        <w:tc>
          <w:tcPr>
            <w:tcW w:w="1701" w:type="dxa"/>
            <w:shd w:val="clear" w:color="auto" w:fill="F4A261"/>
            <w:vAlign w:val="center"/>
          </w:tcPr>
          <w:p w14:paraId="73FC4A2D">
            <w:pPr>
              <w:spacing w:after="0" w:line="240" w:lineRule="auto"/>
              <w:jc w:val="center"/>
            </w:pPr>
            <w:r>
              <w:rPr>
                <w:rFonts w:ascii="黑体" w:hAnsi="黑体" w:eastAsia="黑体"/>
                <w:b/>
                <w:color w:val="FFFFFF"/>
              </w:rPr>
              <w:t>责任主体</w:t>
            </w:r>
          </w:p>
        </w:tc>
        <w:tc>
          <w:tcPr>
            <w:tcW w:w="1247" w:type="dxa"/>
            <w:shd w:val="clear" w:color="auto" w:fill="F4A261"/>
            <w:vAlign w:val="center"/>
          </w:tcPr>
          <w:p w14:paraId="30B68A5F">
            <w:pPr>
              <w:spacing w:after="0" w:line="240" w:lineRule="auto"/>
              <w:jc w:val="center"/>
            </w:pPr>
            <w:r>
              <w:rPr>
                <w:rFonts w:ascii="黑体" w:hAnsi="黑体" w:eastAsia="黑体"/>
                <w:b/>
                <w:color w:val="FFFFFF"/>
              </w:rPr>
              <w:t>时间/周期</w:t>
            </w:r>
          </w:p>
        </w:tc>
        <w:tc>
          <w:tcPr>
            <w:tcW w:w="2551" w:type="dxa"/>
            <w:shd w:val="clear" w:color="auto" w:fill="F4A261"/>
            <w:vAlign w:val="center"/>
          </w:tcPr>
          <w:p w14:paraId="65E7393F">
            <w:pPr>
              <w:spacing w:after="0" w:line="240" w:lineRule="auto"/>
              <w:jc w:val="center"/>
            </w:pPr>
            <w:r>
              <w:rPr>
                <w:rFonts w:ascii="黑体" w:hAnsi="黑体" w:eastAsia="黑体"/>
                <w:b/>
                <w:color w:val="FFFFFF"/>
              </w:rPr>
              <w:t>主要内容与要求</w:t>
            </w:r>
          </w:p>
        </w:tc>
        <w:tc>
          <w:tcPr>
            <w:tcW w:w="1587" w:type="dxa"/>
            <w:shd w:val="clear" w:color="auto" w:fill="F4A261"/>
            <w:vAlign w:val="center"/>
          </w:tcPr>
          <w:p w14:paraId="728C24D0">
            <w:pPr>
              <w:spacing w:after="0" w:line="240" w:lineRule="auto"/>
              <w:jc w:val="center"/>
            </w:pPr>
            <w:r>
              <w:rPr>
                <w:rFonts w:ascii="黑体" w:hAnsi="黑体" w:eastAsia="黑体"/>
                <w:b/>
                <w:color w:val="FFFFFF"/>
              </w:rPr>
              <w:t>输出成果</w:t>
            </w:r>
          </w:p>
        </w:tc>
      </w:tr>
      <w:tr w14:paraId="78C7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497967DE">
            <w:pPr>
              <w:spacing w:after="0" w:line="240" w:lineRule="auto"/>
              <w:jc w:val="center"/>
            </w:pPr>
            <w:r>
              <w:rPr>
                <w:rFonts w:ascii="仿宋" w:hAnsi="仿宋" w:eastAsia="仿宋"/>
                <w:sz w:val="21"/>
              </w:rPr>
              <w:t>13</w:t>
            </w:r>
          </w:p>
        </w:tc>
        <w:tc>
          <w:tcPr>
            <w:tcW w:w="1441" w:type="dxa"/>
            <w:vAlign w:val="center"/>
          </w:tcPr>
          <w:p w14:paraId="51927E79">
            <w:pPr>
              <w:spacing w:after="0" w:line="240" w:lineRule="auto"/>
            </w:pPr>
            <w:r>
              <w:rPr>
                <w:rFonts w:ascii="仿宋" w:hAnsi="仿宋" w:eastAsia="仿宋"/>
                <w:sz w:val="21"/>
              </w:rPr>
              <w:t>形式审查</w:t>
            </w:r>
          </w:p>
        </w:tc>
        <w:tc>
          <w:tcPr>
            <w:tcW w:w="1441" w:type="dxa"/>
            <w:vAlign w:val="center"/>
          </w:tcPr>
          <w:p w14:paraId="7C0AC517">
            <w:pPr>
              <w:spacing w:after="0" w:line="240" w:lineRule="auto"/>
            </w:pPr>
            <w:r>
              <w:rPr>
                <w:rFonts w:ascii="仿宋" w:hAnsi="仿宋" w:eastAsia="仿宋"/>
                <w:sz w:val="21"/>
              </w:rPr>
              <w:t>标委会</w:t>
            </w:r>
          </w:p>
        </w:tc>
        <w:tc>
          <w:tcPr>
            <w:tcW w:w="1441" w:type="dxa"/>
            <w:vAlign w:val="center"/>
          </w:tcPr>
          <w:p w14:paraId="4437FB17">
            <w:pPr>
              <w:spacing w:after="0" w:line="240" w:lineRule="auto"/>
            </w:pPr>
            <w:r>
              <w:rPr>
                <w:rFonts w:ascii="仿宋" w:hAnsi="仿宋" w:eastAsia="仿宋"/>
                <w:sz w:val="21"/>
              </w:rPr>
              <w:t>10个工作日内反馈</w:t>
            </w:r>
          </w:p>
        </w:tc>
        <w:tc>
          <w:tcPr>
            <w:tcW w:w="1441" w:type="dxa"/>
            <w:vAlign w:val="center"/>
          </w:tcPr>
          <w:p w14:paraId="32A88563">
            <w:pPr>
              <w:spacing w:after="0" w:line="240" w:lineRule="auto"/>
              <w:rPr>
                <w:lang w:eastAsia="zh-CN"/>
              </w:rPr>
            </w:pPr>
            <w:r>
              <w:rPr>
                <w:rFonts w:ascii="仿宋" w:hAnsi="仿宋" w:eastAsia="仿宋"/>
                <w:sz w:val="21"/>
                <w:lang w:eastAsia="zh-CN"/>
              </w:rPr>
              <w:t>送审稿+编制说明+证据报告+函询报告+意见处理表+利益冲突声明</w:t>
            </w:r>
          </w:p>
        </w:tc>
        <w:tc>
          <w:tcPr>
            <w:tcW w:w="1441" w:type="dxa"/>
            <w:vAlign w:val="center"/>
          </w:tcPr>
          <w:p w14:paraId="0611ED40">
            <w:pPr>
              <w:spacing w:after="0" w:line="240" w:lineRule="auto"/>
            </w:pPr>
            <w:r>
              <w:rPr>
                <w:rFonts w:ascii="仿宋" w:hAnsi="仿宋" w:eastAsia="仿宋"/>
                <w:sz w:val="21"/>
              </w:rPr>
              <w:t>形式审查意见</w:t>
            </w:r>
          </w:p>
        </w:tc>
      </w:tr>
      <w:tr w14:paraId="598B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16774F28">
            <w:pPr>
              <w:spacing w:after="0" w:line="240" w:lineRule="auto"/>
              <w:jc w:val="center"/>
            </w:pPr>
            <w:r>
              <w:rPr>
                <w:rFonts w:ascii="仿宋" w:hAnsi="仿宋" w:eastAsia="仿宋"/>
                <w:sz w:val="21"/>
              </w:rPr>
              <w:t>14</w:t>
            </w:r>
          </w:p>
        </w:tc>
        <w:tc>
          <w:tcPr>
            <w:tcW w:w="1441" w:type="dxa"/>
            <w:vAlign w:val="center"/>
          </w:tcPr>
          <w:p w14:paraId="7A246AB3">
            <w:pPr>
              <w:spacing w:after="0" w:line="240" w:lineRule="auto"/>
              <w:rPr>
                <w:lang w:eastAsia="zh-CN"/>
              </w:rPr>
            </w:pPr>
            <w:r>
              <w:rPr>
                <w:rFonts w:ascii="仿宋" w:hAnsi="仿宋" w:eastAsia="仿宋"/>
                <w:sz w:val="21"/>
                <w:lang w:eastAsia="zh-CN"/>
              </w:rPr>
              <w:t>外部同行评议（可选）</w:t>
            </w:r>
          </w:p>
        </w:tc>
        <w:tc>
          <w:tcPr>
            <w:tcW w:w="1441" w:type="dxa"/>
            <w:vAlign w:val="center"/>
          </w:tcPr>
          <w:p w14:paraId="621E4591">
            <w:pPr>
              <w:spacing w:after="0" w:line="240" w:lineRule="auto"/>
            </w:pPr>
            <w:r>
              <w:rPr>
                <w:rFonts w:ascii="仿宋" w:hAnsi="仿宋" w:eastAsia="仿宋"/>
                <w:sz w:val="21"/>
              </w:rPr>
              <w:t>标委会组织，3-5名专家</w:t>
            </w:r>
          </w:p>
        </w:tc>
        <w:tc>
          <w:tcPr>
            <w:tcW w:w="1441" w:type="dxa"/>
            <w:vAlign w:val="center"/>
          </w:tcPr>
          <w:p w14:paraId="3E5FC549">
            <w:pPr>
              <w:spacing w:after="0" w:line="240" w:lineRule="auto"/>
            </w:pPr>
            <w:r>
              <w:rPr>
                <w:rFonts w:ascii="仿宋" w:hAnsi="仿宋" w:eastAsia="仿宋"/>
                <w:sz w:val="21"/>
              </w:rPr>
              <w:t>—</w:t>
            </w:r>
          </w:p>
        </w:tc>
        <w:tc>
          <w:tcPr>
            <w:tcW w:w="1441" w:type="dxa"/>
            <w:vAlign w:val="center"/>
          </w:tcPr>
          <w:p w14:paraId="7B2053CA">
            <w:pPr>
              <w:spacing w:after="0" w:line="240" w:lineRule="auto"/>
              <w:rPr>
                <w:lang w:eastAsia="zh-CN"/>
              </w:rPr>
            </w:pPr>
            <w:r>
              <w:rPr>
                <w:rFonts w:ascii="仿宋" w:hAnsi="仿宋" w:eastAsia="仿宋"/>
                <w:sz w:val="21"/>
                <w:lang w:eastAsia="zh-CN"/>
              </w:rPr>
              <w:t>适用于技术复杂、社会影响大的共识；非项目组同行专家独立评议</w:t>
            </w:r>
          </w:p>
        </w:tc>
        <w:tc>
          <w:tcPr>
            <w:tcW w:w="1441" w:type="dxa"/>
            <w:vAlign w:val="center"/>
          </w:tcPr>
          <w:p w14:paraId="223B5728">
            <w:pPr>
              <w:spacing w:after="0" w:line="240" w:lineRule="auto"/>
            </w:pPr>
            <w:r>
              <w:rPr>
                <w:rFonts w:ascii="仿宋" w:hAnsi="仿宋" w:eastAsia="仿宋"/>
                <w:sz w:val="21"/>
              </w:rPr>
              <w:t>同行评议意见</w:t>
            </w:r>
          </w:p>
        </w:tc>
      </w:tr>
      <w:tr w14:paraId="1675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shd w:val="clear" w:color="auto" w:fill="FCE8D5"/>
            <w:vAlign w:val="center"/>
          </w:tcPr>
          <w:p w14:paraId="54EA1FCA">
            <w:pPr>
              <w:spacing w:after="0" w:line="240" w:lineRule="auto"/>
              <w:jc w:val="center"/>
            </w:pPr>
            <w:r>
              <w:rPr>
                <w:rFonts w:ascii="仿宋" w:hAnsi="仿宋" w:eastAsia="仿宋"/>
                <w:sz w:val="21"/>
              </w:rPr>
              <w:t>15</w:t>
            </w:r>
          </w:p>
        </w:tc>
        <w:tc>
          <w:tcPr>
            <w:tcW w:w="1441" w:type="dxa"/>
            <w:shd w:val="clear" w:color="auto" w:fill="FCE8D5"/>
            <w:vAlign w:val="center"/>
          </w:tcPr>
          <w:p w14:paraId="34D25A6E">
            <w:pPr>
              <w:spacing w:after="0" w:line="240" w:lineRule="auto"/>
            </w:pPr>
            <w:r>
              <w:rPr>
                <w:rFonts w:ascii="仿宋" w:hAnsi="仿宋" w:eastAsia="仿宋"/>
                <w:sz w:val="21"/>
              </w:rPr>
              <w:t>技术审查会★</w:t>
            </w:r>
          </w:p>
        </w:tc>
        <w:tc>
          <w:tcPr>
            <w:tcW w:w="1441" w:type="dxa"/>
            <w:shd w:val="clear" w:color="auto" w:fill="FCE8D5"/>
            <w:vAlign w:val="center"/>
          </w:tcPr>
          <w:p w14:paraId="04E403D5">
            <w:pPr>
              <w:spacing w:after="0" w:line="240" w:lineRule="auto"/>
              <w:rPr>
                <w:lang w:eastAsia="zh-CN"/>
              </w:rPr>
            </w:pPr>
            <w:r>
              <w:rPr>
                <w:rFonts w:ascii="仿宋" w:hAnsi="仿宋" w:eastAsia="仿宋"/>
                <w:sz w:val="21"/>
                <w:lang w:eastAsia="zh-CN"/>
              </w:rPr>
              <w:t>标委会组织，≥</w:t>
            </w:r>
            <w:r>
              <w:rPr>
                <w:rFonts w:hint="eastAsia" w:ascii="仿宋" w:hAnsi="仿宋" w:eastAsia="仿宋"/>
                <w:sz w:val="21"/>
                <w:lang w:val="en-US" w:eastAsia="zh-CN"/>
              </w:rPr>
              <w:t>5</w:t>
            </w:r>
            <w:r>
              <w:rPr>
                <w:rFonts w:ascii="仿宋" w:hAnsi="仿宋" w:eastAsia="仿宋"/>
                <w:sz w:val="21"/>
                <w:lang w:eastAsia="zh-CN"/>
              </w:rPr>
              <w:t>名专家</w:t>
            </w:r>
          </w:p>
        </w:tc>
        <w:tc>
          <w:tcPr>
            <w:tcW w:w="1441" w:type="dxa"/>
            <w:shd w:val="clear" w:color="auto" w:fill="FCE8D5"/>
            <w:vAlign w:val="center"/>
          </w:tcPr>
          <w:p w14:paraId="3A73BC00">
            <w:pPr>
              <w:spacing w:after="0" w:line="240" w:lineRule="auto"/>
            </w:pPr>
            <w:r>
              <w:rPr>
                <w:rFonts w:ascii="仿宋" w:hAnsi="仿宋" w:eastAsia="仿宋"/>
                <w:sz w:val="21"/>
              </w:rPr>
              <w:t>—</w:t>
            </w:r>
          </w:p>
        </w:tc>
        <w:tc>
          <w:tcPr>
            <w:tcW w:w="1441" w:type="dxa"/>
            <w:shd w:val="clear" w:color="auto" w:fill="FCE8D5"/>
            <w:vAlign w:val="center"/>
          </w:tcPr>
          <w:p w14:paraId="050019A1">
            <w:pPr>
              <w:spacing w:after="0" w:line="240" w:lineRule="auto"/>
              <w:rPr>
                <w:lang w:eastAsia="zh-CN"/>
              </w:rPr>
            </w:pPr>
            <w:r>
              <w:rPr>
                <w:rFonts w:ascii="仿宋" w:hAnsi="仿宋" w:eastAsia="仿宋"/>
                <w:sz w:val="21"/>
                <w:lang w:eastAsia="zh-CN"/>
              </w:rPr>
              <w:t>牵头专家答辩+专家投票；≥3/4同意通过；最多2次；审查科学性、准确性、完整性、可操作性</w:t>
            </w:r>
          </w:p>
        </w:tc>
        <w:tc>
          <w:tcPr>
            <w:tcW w:w="1441" w:type="dxa"/>
            <w:shd w:val="clear" w:color="auto" w:fill="FCE8D5"/>
            <w:vAlign w:val="center"/>
          </w:tcPr>
          <w:p w14:paraId="6FE3EFDB">
            <w:pPr>
              <w:spacing w:after="0" w:line="240" w:lineRule="auto"/>
            </w:pPr>
            <w:r>
              <w:rPr>
                <w:rFonts w:ascii="仿宋" w:hAnsi="仿宋" w:eastAsia="仿宋"/>
                <w:sz w:val="21"/>
              </w:rPr>
              <w:t>技术审查结论</w:t>
            </w:r>
          </w:p>
        </w:tc>
      </w:tr>
      <w:tr w14:paraId="375E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375BDFE6">
            <w:pPr>
              <w:spacing w:after="0" w:line="240" w:lineRule="auto"/>
              <w:jc w:val="center"/>
            </w:pPr>
            <w:r>
              <w:rPr>
                <w:rFonts w:ascii="仿宋" w:hAnsi="仿宋" w:eastAsia="仿宋"/>
                <w:sz w:val="21"/>
              </w:rPr>
              <w:t>16</w:t>
            </w:r>
          </w:p>
        </w:tc>
        <w:tc>
          <w:tcPr>
            <w:tcW w:w="1441" w:type="dxa"/>
            <w:vAlign w:val="center"/>
          </w:tcPr>
          <w:p w14:paraId="5AA952D2">
            <w:pPr>
              <w:spacing w:after="0" w:line="240" w:lineRule="auto"/>
            </w:pPr>
            <w:r>
              <w:rPr>
                <w:rFonts w:ascii="仿宋" w:hAnsi="仿宋" w:eastAsia="仿宋"/>
                <w:sz w:val="21"/>
              </w:rPr>
              <w:t>修改形成报批稿</w:t>
            </w:r>
          </w:p>
        </w:tc>
        <w:tc>
          <w:tcPr>
            <w:tcW w:w="1441" w:type="dxa"/>
            <w:vAlign w:val="center"/>
          </w:tcPr>
          <w:p w14:paraId="2CDB1B15">
            <w:pPr>
              <w:spacing w:after="0" w:line="240" w:lineRule="auto"/>
            </w:pPr>
            <w:r>
              <w:rPr>
                <w:rFonts w:ascii="仿宋" w:hAnsi="仿宋" w:eastAsia="仿宋"/>
                <w:sz w:val="21"/>
              </w:rPr>
              <w:t>项目工作组</w:t>
            </w:r>
          </w:p>
        </w:tc>
        <w:tc>
          <w:tcPr>
            <w:tcW w:w="1441" w:type="dxa"/>
            <w:vAlign w:val="center"/>
          </w:tcPr>
          <w:p w14:paraId="6CAAB178">
            <w:pPr>
              <w:spacing w:after="0" w:line="240" w:lineRule="auto"/>
            </w:pPr>
            <w:r>
              <w:rPr>
                <w:rFonts w:ascii="仿宋" w:hAnsi="仿宋" w:eastAsia="仿宋"/>
                <w:sz w:val="21"/>
              </w:rPr>
              <w:t>审查会后2周内</w:t>
            </w:r>
          </w:p>
        </w:tc>
        <w:tc>
          <w:tcPr>
            <w:tcW w:w="1441" w:type="dxa"/>
            <w:vAlign w:val="center"/>
          </w:tcPr>
          <w:p w14:paraId="6B673550">
            <w:pPr>
              <w:spacing w:after="0" w:line="240" w:lineRule="auto"/>
              <w:rPr>
                <w:lang w:eastAsia="zh-CN"/>
              </w:rPr>
            </w:pPr>
            <w:r>
              <w:rPr>
                <w:rFonts w:ascii="仿宋" w:hAnsi="仿宋" w:eastAsia="仿宋"/>
                <w:sz w:val="21"/>
                <w:lang w:eastAsia="zh-CN"/>
              </w:rPr>
              <w:t>根据审查意见修改完善</w:t>
            </w:r>
          </w:p>
        </w:tc>
        <w:tc>
          <w:tcPr>
            <w:tcW w:w="1441" w:type="dxa"/>
            <w:vAlign w:val="center"/>
          </w:tcPr>
          <w:p w14:paraId="71752D7A">
            <w:pPr>
              <w:spacing w:after="0" w:line="240" w:lineRule="auto"/>
            </w:pPr>
            <w:r>
              <w:rPr>
                <w:rFonts w:ascii="仿宋" w:hAnsi="仿宋" w:eastAsia="仿宋"/>
                <w:sz w:val="21"/>
              </w:rPr>
              <w:t>报批稿及修改说明</w:t>
            </w:r>
          </w:p>
        </w:tc>
      </w:tr>
    </w:tbl>
    <w:p w14:paraId="44FCDCB4">
      <w:pPr>
        <w:spacing w:before="280" w:after="160"/>
      </w:pPr>
      <w:r>
        <w:rPr>
          <w:rFonts w:ascii="黑体" w:hAnsi="黑体" w:eastAsia="黑体"/>
          <w:b/>
          <w:color w:val="9B5DE5"/>
          <w:sz w:val="30"/>
        </w:rPr>
        <w:t>第四阶段：发布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1445"/>
        <w:gridCol w:w="1362"/>
        <w:gridCol w:w="1172"/>
        <w:gridCol w:w="2207"/>
        <w:gridCol w:w="1279"/>
      </w:tblGrid>
      <w:tr w14:paraId="385B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shd w:val="clear" w:color="auto" w:fill="9B5DE5"/>
            <w:vAlign w:val="center"/>
          </w:tcPr>
          <w:p w14:paraId="33ABAF45">
            <w:pPr>
              <w:spacing w:after="0" w:line="240" w:lineRule="auto"/>
              <w:jc w:val="center"/>
            </w:pPr>
            <w:r>
              <w:rPr>
                <w:rFonts w:ascii="黑体" w:hAnsi="黑体" w:eastAsia="黑体"/>
                <w:b/>
                <w:color w:val="FFFFFF"/>
              </w:rPr>
              <w:t>序号</w:t>
            </w:r>
          </w:p>
        </w:tc>
        <w:tc>
          <w:tcPr>
            <w:tcW w:w="1814" w:type="dxa"/>
            <w:shd w:val="clear" w:color="auto" w:fill="9B5DE5"/>
            <w:vAlign w:val="center"/>
          </w:tcPr>
          <w:p w14:paraId="5C6FC7A7">
            <w:pPr>
              <w:spacing w:after="0" w:line="240" w:lineRule="auto"/>
              <w:jc w:val="center"/>
            </w:pPr>
            <w:r>
              <w:rPr>
                <w:rFonts w:ascii="黑体" w:hAnsi="黑体" w:eastAsia="黑体"/>
                <w:b/>
                <w:color w:val="FFFFFF"/>
              </w:rPr>
              <w:t>环节名称</w:t>
            </w:r>
          </w:p>
        </w:tc>
        <w:tc>
          <w:tcPr>
            <w:tcW w:w="1701" w:type="dxa"/>
            <w:shd w:val="clear" w:color="auto" w:fill="9B5DE5"/>
            <w:vAlign w:val="center"/>
          </w:tcPr>
          <w:p w14:paraId="474B267D">
            <w:pPr>
              <w:spacing w:after="0" w:line="240" w:lineRule="auto"/>
              <w:jc w:val="center"/>
            </w:pPr>
            <w:r>
              <w:rPr>
                <w:rFonts w:ascii="黑体" w:hAnsi="黑体" w:eastAsia="黑体"/>
                <w:b/>
                <w:color w:val="FFFFFF"/>
              </w:rPr>
              <w:t>责任主体</w:t>
            </w:r>
          </w:p>
        </w:tc>
        <w:tc>
          <w:tcPr>
            <w:tcW w:w="1247" w:type="dxa"/>
            <w:shd w:val="clear" w:color="auto" w:fill="9B5DE5"/>
            <w:vAlign w:val="center"/>
          </w:tcPr>
          <w:p w14:paraId="29105491">
            <w:pPr>
              <w:spacing w:after="0" w:line="240" w:lineRule="auto"/>
              <w:jc w:val="center"/>
            </w:pPr>
            <w:r>
              <w:rPr>
                <w:rFonts w:ascii="黑体" w:hAnsi="黑体" w:eastAsia="黑体"/>
                <w:b/>
                <w:color w:val="FFFFFF"/>
              </w:rPr>
              <w:t>时间/周期</w:t>
            </w:r>
          </w:p>
        </w:tc>
        <w:tc>
          <w:tcPr>
            <w:tcW w:w="2551" w:type="dxa"/>
            <w:shd w:val="clear" w:color="auto" w:fill="9B5DE5"/>
            <w:vAlign w:val="center"/>
          </w:tcPr>
          <w:p w14:paraId="7288F944">
            <w:pPr>
              <w:spacing w:after="0" w:line="240" w:lineRule="auto"/>
              <w:jc w:val="center"/>
            </w:pPr>
            <w:r>
              <w:rPr>
                <w:rFonts w:ascii="黑体" w:hAnsi="黑体" w:eastAsia="黑体"/>
                <w:b/>
                <w:color w:val="FFFFFF"/>
              </w:rPr>
              <w:t>主要内容与要求</w:t>
            </w:r>
          </w:p>
        </w:tc>
        <w:tc>
          <w:tcPr>
            <w:tcW w:w="1587" w:type="dxa"/>
            <w:shd w:val="clear" w:color="auto" w:fill="9B5DE5"/>
            <w:vAlign w:val="center"/>
          </w:tcPr>
          <w:p w14:paraId="0BCFA78F">
            <w:pPr>
              <w:spacing w:after="0" w:line="240" w:lineRule="auto"/>
              <w:jc w:val="center"/>
            </w:pPr>
            <w:r>
              <w:rPr>
                <w:rFonts w:ascii="黑体" w:hAnsi="黑体" w:eastAsia="黑体"/>
                <w:b/>
                <w:color w:val="FFFFFF"/>
              </w:rPr>
              <w:t>输出成果</w:t>
            </w:r>
          </w:p>
        </w:tc>
      </w:tr>
      <w:tr w14:paraId="3851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3382117F">
            <w:pPr>
              <w:spacing w:after="0" w:line="240" w:lineRule="auto"/>
              <w:jc w:val="center"/>
            </w:pPr>
            <w:r>
              <w:rPr>
                <w:rFonts w:ascii="仿宋" w:hAnsi="仿宋" w:eastAsia="仿宋"/>
                <w:sz w:val="21"/>
              </w:rPr>
              <w:t>17</w:t>
            </w:r>
          </w:p>
        </w:tc>
        <w:tc>
          <w:tcPr>
            <w:tcW w:w="1441" w:type="dxa"/>
            <w:vAlign w:val="center"/>
          </w:tcPr>
          <w:p w14:paraId="1FE6077C">
            <w:pPr>
              <w:spacing w:after="0" w:line="240" w:lineRule="auto"/>
            </w:pPr>
            <w:r>
              <w:rPr>
                <w:rFonts w:ascii="仿宋" w:hAnsi="仿宋" w:eastAsia="仿宋"/>
                <w:sz w:val="21"/>
              </w:rPr>
              <w:t>报批材料审核</w:t>
            </w:r>
          </w:p>
        </w:tc>
        <w:tc>
          <w:tcPr>
            <w:tcW w:w="1441" w:type="dxa"/>
            <w:vAlign w:val="center"/>
          </w:tcPr>
          <w:p w14:paraId="56B9EB6C">
            <w:pPr>
              <w:spacing w:after="0" w:line="240" w:lineRule="auto"/>
            </w:pPr>
            <w:r>
              <w:rPr>
                <w:rFonts w:ascii="仿宋" w:hAnsi="仿宋" w:eastAsia="仿宋"/>
                <w:sz w:val="21"/>
              </w:rPr>
              <w:t>标委会</w:t>
            </w:r>
          </w:p>
        </w:tc>
        <w:tc>
          <w:tcPr>
            <w:tcW w:w="1441" w:type="dxa"/>
            <w:vAlign w:val="center"/>
          </w:tcPr>
          <w:p w14:paraId="35898419">
            <w:pPr>
              <w:spacing w:after="0" w:line="240" w:lineRule="auto"/>
            </w:pPr>
            <w:r>
              <w:rPr>
                <w:rFonts w:ascii="仿宋" w:hAnsi="仿宋" w:eastAsia="仿宋"/>
                <w:sz w:val="21"/>
              </w:rPr>
              <w:t>—</w:t>
            </w:r>
          </w:p>
        </w:tc>
        <w:tc>
          <w:tcPr>
            <w:tcW w:w="1441" w:type="dxa"/>
            <w:vAlign w:val="center"/>
          </w:tcPr>
          <w:p w14:paraId="779D8234">
            <w:pPr>
              <w:spacing w:after="0" w:line="240" w:lineRule="auto"/>
              <w:rPr>
                <w:lang w:eastAsia="zh-CN"/>
              </w:rPr>
            </w:pPr>
            <w:r>
              <w:rPr>
                <w:rFonts w:ascii="仿宋" w:hAnsi="仿宋" w:eastAsia="仿宋"/>
                <w:sz w:val="21"/>
                <w:lang w:eastAsia="zh-CN"/>
              </w:rPr>
              <w:t>审核报批稿、修改说明及全套材料的完整性和合规性</w:t>
            </w:r>
          </w:p>
        </w:tc>
        <w:tc>
          <w:tcPr>
            <w:tcW w:w="1441" w:type="dxa"/>
            <w:vAlign w:val="center"/>
          </w:tcPr>
          <w:p w14:paraId="7098FDE6">
            <w:pPr>
              <w:spacing w:after="0" w:line="240" w:lineRule="auto"/>
            </w:pPr>
            <w:r>
              <w:rPr>
                <w:rFonts w:ascii="仿宋" w:hAnsi="仿宋" w:eastAsia="仿宋"/>
                <w:sz w:val="21"/>
              </w:rPr>
              <w:t>审核通过</w:t>
            </w:r>
          </w:p>
        </w:tc>
      </w:tr>
      <w:tr w14:paraId="2EAB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213F6F29">
            <w:pPr>
              <w:spacing w:after="0" w:line="240" w:lineRule="auto"/>
              <w:jc w:val="center"/>
            </w:pPr>
            <w:r>
              <w:rPr>
                <w:rFonts w:ascii="仿宋" w:hAnsi="仿宋" w:eastAsia="仿宋"/>
                <w:sz w:val="21"/>
              </w:rPr>
              <w:t>18</w:t>
            </w:r>
          </w:p>
        </w:tc>
        <w:tc>
          <w:tcPr>
            <w:tcW w:w="1441" w:type="dxa"/>
            <w:vAlign w:val="center"/>
          </w:tcPr>
          <w:p w14:paraId="19984B5E">
            <w:pPr>
              <w:spacing w:after="0" w:line="240" w:lineRule="auto"/>
            </w:pPr>
            <w:r>
              <w:rPr>
                <w:rFonts w:ascii="仿宋" w:hAnsi="仿宋" w:eastAsia="仿宋"/>
                <w:sz w:val="21"/>
              </w:rPr>
              <w:t>公示</w:t>
            </w:r>
          </w:p>
        </w:tc>
        <w:tc>
          <w:tcPr>
            <w:tcW w:w="1441" w:type="dxa"/>
            <w:vAlign w:val="center"/>
          </w:tcPr>
          <w:p w14:paraId="029015F7">
            <w:pPr>
              <w:spacing w:after="0" w:line="240" w:lineRule="auto"/>
            </w:pPr>
            <w:r>
              <w:rPr>
                <w:rFonts w:ascii="仿宋" w:hAnsi="仿宋" w:eastAsia="仿宋"/>
                <w:sz w:val="21"/>
              </w:rPr>
              <w:t>标委会在官网发布</w:t>
            </w:r>
          </w:p>
        </w:tc>
        <w:tc>
          <w:tcPr>
            <w:tcW w:w="1441" w:type="dxa"/>
            <w:vAlign w:val="center"/>
          </w:tcPr>
          <w:p w14:paraId="6CA75CC6">
            <w:pPr>
              <w:spacing w:after="0" w:line="240" w:lineRule="auto"/>
            </w:pPr>
            <w:r>
              <w:rPr>
                <w:rFonts w:ascii="仿宋" w:hAnsi="仿宋" w:eastAsia="仿宋"/>
                <w:sz w:val="21"/>
              </w:rPr>
              <w:t>15个工作日</w:t>
            </w:r>
          </w:p>
        </w:tc>
        <w:tc>
          <w:tcPr>
            <w:tcW w:w="1441" w:type="dxa"/>
            <w:vAlign w:val="center"/>
          </w:tcPr>
          <w:p w14:paraId="6B9F1309">
            <w:pPr>
              <w:spacing w:after="0" w:line="240" w:lineRule="auto"/>
              <w:rPr>
                <w:lang w:eastAsia="zh-CN"/>
              </w:rPr>
            </w:pPr>
            <w:r>
              <w:rPr>
                <w:rFonts w:ascii="仿宋" w:hAnsi="仿宋" w:eastAsia="仿宋"/>
                <w:sz w:val="21"/>
                <w:lang w:eastAsia="zh-CN"/>
              </w:rPr>
              <w:t>收集公示意见，转交项目工作组处理，10个工作日内提交处理报告</w:t>
            </w:r>
          </w:p>
        </w:tc>
        <w:tc>
          <w:tcPr>
            <w:tcW w:w="1441" w:type="dxa"/>
            <w:vAlign w:val="center"/>
          </w:tcPr>
          <w:p w14:paraId="50AA41D2">
            <w:pPr>
              <w:spacing w:after="0" w:line="240" w:lineRule="auto"/>
            </w:pPr>
            <w:r>
              <w:rPr>
                <w:rFonts w:ascii="仿宋" w:hAnsi="仿宋" w:eastAsia="仿宋"/>
                <w:sz w:val="21"/>
              </w:rPr>
              <w:t>公示意见处理报告</w:t>
            </w:r>
          </w:p>
        </w:tc>
      </w:tr>
      <w:tr w14:paraId="622C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shd w:val="clear" w:color="auto" w:fill="E8DAF8"/>
            <w:vAlign w:val="center"/>
          </w:tcPr>
          <w:p w14:paraId="1557D2C9">
            <w:pPr>
              <w:spacing w:after="0" w:line="240" w:lineRule="auto"/>
              <w:jc w:val="center"/>
            </w:pPr>
            <w:r>
              <w:rPr>
                <w:rFonts w:ascii="仿宋" w:hAnsi="仿宋" w:eastAsia="仿宋"/>
                <w:sz w:val="21"/>
              </w:rPr>
              <w:t>19</w:t>
            </w:r>
          </w:p>
        </w:tc>
        <w:tc>
          <w:tcPr>
            <w:tcW w:w="1441" w:type="dxa"/>
            <w:shd w:val="clear" w:color="auto" w:fill="E8DAF8"/>
            <w:vAlign w:val="center"/>
          </w:tcPr>
          <w:p w14:paraId="653E1380">
            <w:pPr>
              <w:spacing w:after="0" w:line="240" w:lineRule="auto"/>
            </w:pPr>
            <w:r>
              <w:rPr>
                <w:rFonts w:ascii="仿宋" w:hAnsi="仿宋" w:eastAsia="仿宋"/>
                <w:sz w:val="21"/>
              </w:rPr>
              <w:t>审议批准★</w:t>
            </w:r>
          </w:p>
        </w:tc>
        <w:tc>
          <w:tcPr>
            <w:tcW w:w="1441" w:type="dxa"/>
            <w:shd w:val="clear" w:color="auto" w:fill="E8DAF8"/>
            <w:vAlign w:val="center"/>
          </w:tcPr>
          <w:p w14:paraId="197F1555">
            <w:pPr>
              <w:spacing w:after="0" w:line="240" w:lineRule="auto"/>
              <w:rPr>
                <w:lang w:eastAsia="zh-CN"/>
              </w:rPr>
            </w:pPr>
            <w:r>
              <w:rPr>
                <w:rFonts w:ascii="仿宋" w:hAnsi="仿宋" w:eastAsia="仿宋"/>
                <w:sz w:val="21"/>
                <w:lang w:eastAsia="zh-CN"/>
              </w:rPr>
              <w:t>标委会</w:t>
            </w:r>
          </w:p>
        </w:tc>
        <w:tc>
          <w:tcPr>
            <w:tcW w:w="1441" w:type="dxa"/>
            <w:shd w:val="clear" w:color="auto" w:fill="E8DAF8"/>
            <w:vAlign w:val="center"/>
          </w:tcPr>
          <w:p w14:paraId="3B620CB6">
            <w:pPr>
              <w:spacing w:after="0" w:line="240" w:lineRule="auto"/>
            </w:pPr>
            <w:r>
              <w:rPr>
                <w:rFonts w:ascii="仿宋" w:hAnsi="仿宋" w:eastAsia="仿宋"/>
                <w:sz w:val="21"/>
              </w:rPr>
              <w:t>—</w:t>
            </w:r>
          </w:p>
        </w:tc>
        <w:tc>
          <w:tcPr>
            <w:tcW w:w="1441" w:type="dxa"/>
            <w:shd w:val="clear" w:color="auto" w:fill="E8DAF8"/>
            <w:vAlign w:val="center"/>
          </w:tcPr>
          <w:p w14:paraId="3B8E69C0">
            <w:pPr>
              <w:spacing w:after="0" w:line="240" w:lineRule="auto"/>
              <w:rPr>
                <w:lang w:eastAsia="zh-CN"/>
              </w:rPr>
            </w:pPr>
            <w:r>
              <w:rPr>
                <w:rFonts w:ascii="仿宋" w:hAnsi="仿宋" w:eastAsia="仿宋"/>
                <w:sz w:val="21"/>
                <w:lang w:eastAsia="zh-CN"/>
              </w:rPr>
              <w:t>公示期满无异议或异议不成立；审议批准发布</w:t>
            </w:r>
          </w:p>
        </w:tc>
        <w:tc>
          <w:tcPr>
            <w:tcW w:w="1441" w:type="dxa"/>
            <w:shd w:val="clear" w:color="auto" w:fill="E8DAF8"/>
            <w:vAlign w:val="center"/>
          </w:tcPr>
          <w:p w14:paraId="617BB71A">
            <w:pPr>
              <w:spacing w:after="0" w:line="240" w:lineRule="auto"/>
            </w:pPr>
            <w:r>
              <w:rPr>
                <w:rFonts w:ascii="仿宋" w:hAnsi="仿宋" w:eastAsia="仿宋"/>
                <w:sz w:val="21"/>
              </w:rPr>
              <w:t>批准发布决定</w:t>
            </w:r>
          </w:p>
        </w:tc>
      </w:tr>
      <w:tr w14:paraId="2AEE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564BEE1D">
            <w:pPr>
              <w:spacing w:after="0" w:line="240" w:lineRule="auto"/>
              <w:jc w:val="center"/>
            </w:pPr>
            <w:r>
              <w:rPr>
                <w:rFonts w:ascii="仿宋" w:hAnsi="仿宋" w:eastAsia="仿宋"/>
                <w:sz w:val="21"/>
              </w:rPr>
              <w:t>20</w:t>
            </w:r>
          </w:p>
        </w:tc>
        <w:tc>
          <w:tcPr>
            <w:tcW w:w="1441" w:type="dxa"/>
            <w:vAlign w:val="center"/>
          </w:tcPr>
          <w:p w14:paraId="39FAA60D">
            <w:pPr>
              <w:spacing w:after="0" w:line="240" w:lineRule="auto"/>
            </w:pPr>
            <w:r>
              <w:rPr>
                <w:rFonts w:ascii="仿宋" w:hAnsi="仿宋" w:eastAsia="仿宋"/>
                <w:sz w:val="21"/>
              </w:rPr>
              <w:t>统一编号</w:t>
            </w:r>
          </w:p>
        </w:tc>
        <w:tc>
          <w:tcPr>
            <w:tcW w:w="1441" w:type="dxa"/>
            <w:vAlign w:val="center"/>
          </w:tcPr>
          <w:p w14:paraId="5FC1208E">
            <w:pPr>
              <w:spacing w:after="0" w:line="240" w:lineRule="auto"/>
            </w:pPr>
            <w:r>
              <w:rPr>
                <w:rFonts w:ascii="仿宋" w:hAnsi="仿宋" w:eastAsia="仿宋"/>
                <w:sz w:val="21"/>
              </w:rPr>
              <w:t>标委会</w:t>
            </w:r>
          </w:p>
        </w:tc>
        <w:tc>
          <w:tcPr>
            <w:tcW w:w="1441" w:type="dxa"/>
            <w:vAlign w:val="center"/>
          </w:tcPr>
          <w:p w14:paraId="0F0ACDA4">
            <w:pPr>
              <w:spacing w:after="0" w:line="240" w:lineRule="auto"/>
            </w:pPr>
            <w:r>
              <w:rPr>
                <w:rFonts w:ascii="仿宋" w:hAnsi="仿宋" w:eastAsia="仿宋"/>
                <w:sz w:val="21"/>
              </w:rPr>
              <w:t>—</w:t>
            </w:r>
          </w:p>
        </w:tc>
        <w:tc>
          <w:tcPr>
            <w:tcW w:w="1441" w:type="dxa"/>
            <w:vAlign w:val="center"/>
          </w:tcPr>
          <w:p w14:paraId="2C7FCF31">
            <w:pPr>
              <w:spacing w:after="0" w:line="240" w:lineRule="auto"/>
            </w:pPr>
            <w:r>
              <w:rPr>
                <w:rFonts w:ascii="仿宋" w:hAnsi="仿宋" w:eastAsia="仿宋"/>
                <w:sz w:val="21"/>
              </w:rPr>
              <w:t>格式：T/CIAPST Consensus XXXX—YYYY</w:t>
            </w:r>
          </w:p>
        </w:tc>
        <w:tc>
          <w:tcPr>
            <w:tcW w:w="1441" w:type="dxa"/>
            <w:vAlign w:val="center"/>
          </w:tcPr>
          <w:p w14:paraId="3E3C50A2">
            <w:pPr>
              <w:spacing w:after="0" w:line="240" w:lineRule="auto"/>
            </w:pPr>
            <w:r>
              <w:rPr>
                <w:rFonts w:ascii="仿宋" w:hAnsi="仿宋" w:eastAsia="仿宋"/>
                <w:sz w:val="21"/>
              </w:rPr>
              <w:t>共识编号</w:t>
            </w:r>
          </w:p>
        </w:tc>
      </w:tr>
      <w:tr w14:paraId="7710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1" w:type="dxa"/>
            <w:vAlign w:val="center"/>
          </w:tcPr>
          <w:p w14:paraId="107834D6">
            <w:pPr>
              <w:spacing w:after="0" w:line="240" w:lineRule="auto"/>
              <w:jc w:val="center"/>
            </w:pPr>
            <w:r>
              <w:rPr>
                <w:rFonts w:ascii="仿宋" w:hAnsi="仿宋" w:eastAsia="仿宋"/>
                <w:sz w:val="21"/>
              </w:rPr>
              <w:t>21</w:t>
            </w:r>
          </w:p>
        </w:tc>
        <w:tc>
          <w:tcPr>
            <w:tcW w:w="1441" w:type="dxa"/>
            <w:vAlign w:val="center"/>
          </w:tcPr>
          <w:p w14:paraId="6E8FACAA">
            <w:pPr>
              <w:spacing w:after="0" w:line="240" w:lineRule="auto"/>
            </w:pPr>
            <w:r>
              <w:rPr>
                <w:rFonts w:ascii="仿宋" w:hAnsi="仿宋" w:eastAsia="仿宋"/>
                <w:sz w:val="21"/>
              </w:rPr>
              <w:t>正式发布</w:t>
            </w:r>
          </w:p>
        </w:tc>
        <w:tc>
          <w:tcPr>
            <w:tcW w:w="1441" w:type="dxa"/>
            <w:vAlign w:val="center"/>
          </w:tcPr>
          <w:p w14:paraId="18DFD512">
            <w:pPr>
              <w:spacing w:after="0" w:line="240" w:lineRule="auto"/>
            </w:pPr>
            <w:r>
              <w:rPr>
                <w:rFonts w:ascii="仿宋" w:hAnsi="仿宋" w:eastAsia="仿宋"/>
                <w:sz w:val="21"/>
              </w:rPr>
              <w:t>标委会</w:t>
            </w:r>
          </w:p>
        </w:tc>
        <w:tc>
          <w:tcPr>
            <w:tcW w:w="1441" w:type="dxa"/>
            <w:vAlign w:val="center"/>
          </w:tcPr>
          <w:p w14:paraId="5DFDC8D0">
            <w:pPr>
              <w:spacing w:after="0" w:line="240" w:lineRule="auto"/>
            </w:pPr>
            <w:r>
              <w:rPr>
                <w:rFonts w:ascii="仿宋" w:hAnsi="仿宋" w:eastAsia="仿宋"/>
                <w:sz w:val="21"/>
              </w:rPr>
              <w:t>—</w:t>
            </w:r>
          </w:p>
        </w:tc>
        <w:tc>
          <w:tcPr>
            <w:tcW w:w="1441" w:type="dxa"/>
            <w:vAlign w:val="center"/>
          </w:tcPr>
          <w:p w14:paraId="6C0DB305">
            <w:pPr>
              <w:spacing w:after="0" w:line="240" w:lineRule="auto"/>
              <w:rPr>
                <w:lang w:eastAsia="zh-CN"/>
              </w:rPr>
            </w:pPr>
            <w:r>
              <w:rPr>
                <w:rFonts w:ascii="仿宋" w:hAnsi="仿宋" w:eastAsia="仿宋"/>
                <w:sz w:val="21"/>
                <w:lang w:eastAsia="zh-CN"/>
              </w:rPr>
              <w:t>官网全文发布+公众号发布公告；全套材料归档（≥10年）；后续宣贯推广、目标用户评价、3年复审</w:t>
            </w:r>
          </w:p>
        </w:tc>
        <w:tc>
          <w:tcPr>
            <w:tcW w:w="1441" w:type="dxa"/>
            <w:vAlign w:val="center"/>
          </w:tcPr>
          <w:p w14:paraId="6499B063">
            <w:pPr>
              <w:spacing w:after="0" w:line="240" w:lineRule="auto"/>
            </w:pPr>
            <w:r>
              <w:rPr>
                <w:rFonts w:ascii="仿宋" w:hAnsi="仿宋" w:eastAsia="仿宋"/>
                <w:sz w:val="21"/>
              </w:rPr>
              <w:t>发布公告及全文</w:t>
            </w:r>
          </w:p>
        </w:tc>
      </w:tr>
    </w:tbl>
    <w:p w14:paraId="592D75B0">
      <w:pPr>
        <w:spacing w:before="360" w:after="120"/>
        <w:rPr>
          <w:lang w:eastAsia="zh-CN"/>
        </w:rPr>
      </w:pPr>
      <w:r>
        <w:rPr>
          <w:rFonts w:ascii="黑体" w:hAnsi="黑体" w:eastAsia="黑体"/>
          <w:b/>
          <w:sz w:val="32"/>
          <w:lang w:eastAsia="zh-CN"/>
        </w:rPr>
        <w:t>三、关键决策表决点说明</w:t>
      </w:r>
    </w:p>
    <w:p w14:paraId="4008D35A">
      <w:pPr>
        <w:spacing w:after="80" w:line="360" w:lineRule="auto"/>
        <w:ind w:firstLine="420"/>
        <w:rPr>
          <w:lang w:eastAsia="zh-CN"/>
        </w:rPr>
      </w:pPr>
      <w:r>
        <w:rPr>
          <w:rFonts w:ascii="楷体" w:hAnsi="楷体" w:eastAsia="楷体"/>
          <w:b/>
          <w:sz w:val="28"/>
          <w:lang w:eastAsia="zh-CN"/>
        </w:rPr>
        <w:t>（1）立项论证会（第4步）：</w:t>
      </w:r>
      <w:r>
        <w:rPr>
          <w:rFonts w:ascii="仿宋" w:hAnsi="仿宋" w:eastAsia="仿宋"/>
          <w:sz w:val="28"/>
          <w:lang w:eastAsia="zh-CN"/>
        </w:rPr>
        <w:t>由标委会组织不少于</w:t>
      </w:r>
      <w:r>
        <w:rPr>
          <w:rFonts w:hint="eastAsia" w:ascii="仿宋" w:hAnsi="仿宋" w:eastAsia="仿宋"/>
          <w:sz w:val="28"/>
          <w:lang w:val="en-US" w:eastAsia="zh-CN"/>
        </w:rPr>
        <w:t>5</w:t>
      </w:r>
      <w:r>
        <w:rPr>
          <w:rFonts w:ascii="仿宋" w:hAnsi="仿宋" w:eastAsia="仿宋"/>
          <w:sz w:val="28"/>
          <w:lang w:eastAsia="zh-CN"/>
        </w:rPr>
        <w:t>名相关领域专家，项目牵头专家必须参加并进行立项答辩。与会专家填写投票单，必须有不少于出席会议专家四分之三同意方为通过。项目最多可进行两次论证，两次均不通过的，不予立项。</w:t>
      </w:r>
    </w:p>
    <w:p w14:paraId="2DA10B8C">
      <w:pPr>
        <w:spacing w:after="80" w:line="360" w:lineRule="auto"/>
        <w:ind w:firstLine="420"/>
        <w:rPr>
          <w:lang w:eastAsia="zh-CN"/>
        </w:rPr>
      </w:pPr>
      <w:r>
        <w:rPr>
          <w:rFonts w:ascii="楷体" w:hAnsi="楷体" w:eastAsia="楷体"/>
          <w:b/>
          <w:sz w:val="28"/>
          <w:lang w:eastAsia="zh-CN"/>
        </w:rPr>
        <w:t>（2）技术审查会（第15步）：</w:t>
      </w:r>
      <w:r>
        <w:rPr>
          <w:rFonts w:ascii="仿宋" w:hAnsi="仿宋" w:eastAsia="仿宋"/>
          <w:sz w:val="28"/>
          <w:lang w:eastAsia="zh-CN"/>
        </w:rPr>
        <w:t>由标委会组织不少于</w:t>
      </w:r>
      <w:r>
        <w:rPr>
          <w:rFonts w:hint="eastAsia" w:ascii="仿宋" w:hAnsi="仿宋" w:eastAsia="仿宋"/>
          <w:sz w:val="28"/>
          <w:lang w:val="en-US" w:eastAsia="zh-CN"/>
        </w:rPr>
        <w:t>5</w:t>
      </w:r>
      <w:bookmarkStart w:id="0" w:name="_GoBack"/>
      <w:bookmarkEnd w:id="0"/>
      <w:r>
        <w:rPr>
          <w:rFonts w:ascii="仿宋" w:hAnsi="仿宋" w:eastAsia="仿宋"/>
          <w:sz w:val="28"/>
          <w:lang w:eastAsia="zh-CN"/>
        </w:rPr>
        <w:t>名专家（含技术专家、标准化专家和应用方代表），项目牵头专家必须参加并进行审查答辩。共识项目组成员和标委会管理人员不能参加表决。必须有不少于出席审查会专家四分之三同意方为通过。项目最多可进行两次审查，两次均不通过的，撤销项目。</w:t>
      </w:r>
    </w:p>
    <w:p w14:paraId="1644CA43">
      <w:pPr>
        <w:spacing w:after="80" w:line="360" w:lineRule="auto"/>
        <w:ind w:firstLine="420"/>
        <w:rPr>
          <w:lang w:eastAsia="zh-CN"/>
        </w:rPr>
      </w:pPr>
      <w:r>
        <w:rPr>
          <w:rFonts w:ascii="楷体" w:hAnsi="楷体" w:eastAsia="楷体"/>
          <w:b/>
          <w:sz w:val="28"/>
          <w:lang w:eastAsia="zh-CN"/>
        </w:rPr>
        <w:t>（3）审议批准（第19步）：</w:t>
      </w:r>
      <w:r>
        <w:rPr>
          <w:rFonts w:ascii="仿宋" w:hAnsi="仿宋" w:eastAsia="仿宋"/>
          <w:sz w:val="28"/>
          <w:lang w:eastAsia="zh-CN"/>
        </w:rPr>
        <w:t>公示期满无异议或异议不成立的，由标委会报科促会秘书长办公会审议批准后发布。</w:t>
      </w:r>
    </w:p>
    <w:p w14:paraId="68101BFE">
      <w:pPr>
        <w:spacing w:before="360" w:after="120"/>
        <w:rPr>
          <w:lang w:eastAsia="zh-CN"/>
        </w:rPr>
      </w:pPr>
      <w:r>
        <w:rPr>
          <w:rFonts w:ascii="黑体" w:hAnsi="黑体" w:eastAsia="黑体"/>
          <w:b/>
          <w:sz w:val="32"/>
          <w:lang w:eastAsia="zh-CN"/>
        </w:rPr>
        <w:t>四、核心质量控制规则</w:t>
      </w:r>
    </w:p>
    <w:p w14:paraId="4D0ECD31">
      <w:pPr>
        <w:spacing w:after="80" w:line="360" w:lineRule="auto"/>
        <w:ind w:firstLine="420"/>
        <w:rPr>
          <w:lang w:eastAsia="zh-CN"/>
        </w:rPr>
      </w:pPr>
      <w:r>
        <w:rPr>
          <w:rFonts w:ascii="仿宋" w:hAnsi="仿宋" w:eastAsia="仿宋"/>
          <w:sz w:val="28"/>
          <w:lang w:eastAsia="zh-CN"/>
        </w:rPr>
        <w:t>1. 证据分级：统一采用GRADE（推荐分级的评估、制定与评价）证据分级体系，对推荐意见的证据质量和推荐强度进行分级标注。</w:t>
      </w:r>
    </w:p>
    <w:p w14:paraId="4BE2BC8C">
      <w:pPr>
        <w:spacing w:after="80" w:line="360" w:lineRule="auto"/>
        <w:ind w:firstLine="420"/>
        <w:rPr>
          <w:lang w:eastAsia="zh-CN"/>
        </w:rPr>
      </w:pPr>
      <w:r>
        <w:rPr>
          <w:rFonts w:ascii="仿宋" w:hAnsi="仿宋" w:eastAsia="仿宋"/>
          <w:sz w:val="28"/>
          <w:lang w:eastAsia="zh-CN"/>
        </w:rPr>
        <w:t>2. 共识规则：德尔菲函询中，同意率达到75%及以上的条款方可纳入推荐意见；低于75%的条款经进一步论证修改后重新表决，或作为"尚未达成共识"内容予以说明。</w:t>
      </w:r>
    </w:p>
    <w:p w14:paraId="54682857">
      <w:pPr>
        <w:spacing w:after="80" w:line="360" w:lineRule="auto"/>
        <w:ind w:firstLine="420"/>
        <w:rPr>
          <w:lang w:eastAsia="zh-CN"/>
        </w:rPr>
      </w:pPr>
      <w:r>
        <w:rPr>
          <w:rFonts w:ascii="仿宋" w:hAnsi="仿宋" w:eastAsia="仿宋"/>
          <w:sz w:val="28"/>
          <w:lang w:eastAsia="zh-CN"/>
        </w:rPr>
        <w:t>3. 回避制度：项目组成员及其所在单位的专家不得参加本项目的立项论证和技术审查；存在近亲属关系、师生关系、合作关系、经济利害关系等情形的专家应主动申明回避。</w:t>
      </w:r>
    </w:p>
    <w:p w14:paraId="3AE07782">
      <w:pPr>
        <w:spacing w:after="80" w:line="360" w:lineRule="auto"/>
        <w:ind w:firstLine="420"/>
        <w:rPr>
          <w:lang w:eastAsia="zh-CN"/>
        </w:rPr>
      </w:pPr>
      <w:r>
        <w:rPr>
          <w:rFonts w:ascii="仿宋" w:hAnsi="仿宋" w:eastAsia="仿宋"/>
          <w:sz w:val="28"/>
          <w:lang w:eastAsia="zh-CN"/>
        </w:rPr>
        <w:t>4. 全程留痕：所有会议记录、投票文件、函询结果、意见处理表等原始资料均完整归档留存，档案保存期限不少于10年，做到全程可追溯。</w:t>
      </w:r>
    </w:p>
    <w:p w14:paraId="50559144">
      <w:pPr>
        <w:spacing w:after="80" w:line="360" w:lineRule="auto"/>
        <w:ind w:firstLine="420"/>
        <w:rPr>
          <w:lang w:eastAsia="zh-CN"/>
        </w:rPr>
      </w:pPr>
      <w:r>
        <w:rPr>
          <w:rFonts w:ascii="仿宋" w:hAnsi="仿宋" w:eastAsia="仿宋"/>
          <w:sz w:val="28"/>
          <w:lang w:eastAsia="zh-CN"/>
        </w:rPr>
        <w:t>5. 动态更新：专家共识发布后实行3年定期复审制度；若领域出现重大技术突破或国家出台新法规政策，可即时启动修订程序，不受3年复审周期限制。</w:t>
      </w:r>
    </w:p>
    <w:p w14:paraId="7DB2ABC6">
      <w:pPr>
        <w:spacing w:before="360" w:after="120"/>
      </w:pPr>
      <w:r>
        <w:rPr>
          <w:rFonts w:ascii="黑体" w:hAnsi="黑体" w:eastAsia="黑体"/>
          <w:b/>
          <w:sz w:val="32"/>
        </w:rPr>
        <w:t>五、关键时间节点汇总</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3685"/>
        <w:gridCol w:w="2835"/>
      </w:tblGrid>
      <w:tr w14:paraId="4397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17" w:type="dxa"/>
            <w:shd w:val="clear" w:color="auto" w:fill="333333"/>
            <w:vAlign w:val="center"/>
          </w:tcPr>
          <w:p w14:paraId="4A74D579">
            <w:pPr>
              <w:spacing w:after="0" w:line="240" w:lineRule="auto"/>
              <w:jc w:val="center"/>
            </w:pPr>
            <w:r>
              <w:rPr>
                <w:rFonts w:ascii="黑体" w:hAnsi="黑体" w:eastAsia="黑体"/>
                <w:b/>
                <w:color w:val="FFFFFF"/>
                <w:sz w:val="24"/>
              </w:rPr>
              <w:t>阶段</w:t>
            </w:r>
          </w:p>
        </w:tc>
        <w:tc>
          <w:tcPr>
            <w:tcW w:w="3685" w:type="dxa"/>
            <w:shd w:val="clear" w:color="auto" w:fill="333333"/>
            <w:vAlign w:val="center"/>
          </w:tcPr>
          <w:p w14:paraId="7F2E573F">
            <w:pPr>
              <w:spacing w:after="0" w:line="240" w:lineRule="auto"/>
              <w:jc w:val="center"/>
            </w:pPr>
            <w:r>
              <w:rPr>
                <w:rFonts w:ascii="黑体" w:hAnsi="黑体" w:eastAsia="黑体"/>
                <w:b/>
                <w:color w:val="FFFFFF"/>
                <w:sz w:val="24"/>
              </w:rPr>
              <w:t>关键节点</w:t>
            </w:r>
          </w:p>
        </w:tc>
        <w:tc>
          <w:tcPr>
            <w:tcW w:w="2835" w:type="dxa"/>
            <w:shd w:val="clear" w:color="auto" w:fill="333333"/>
            <w:vAlign w:val="center"/>
          </w:tcPr>
          <w:p w14:paraId="2FD6195A">
            <w:pPr>
              <w:spacing w:after="0" w:line="240" w:lineRule="auto"/>
              <w:jc w:val="center"/>
            </w:pPr>
            <w:r>
              <w:rPr>
                <w:rFonts w:ascii="黑体" w:hAnsi="黑体" w:eastAsia="黑体"/>
                <w:b/>
                <w:color w:val="FFFFFF"/>
                <w:sz w:val="24"/>
              </w:rPr>
              <w:t>时间要求</w:t>
            </w:r>
          </w:p>
        </w:tc>
      </w:tr>
      <w:tr w14:paraId="74BC4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22A93C95">
            <w:pPr>
              <w:spacing w:after="0" w:line="240" w:lineRule="auto"/>
              <w:jc w:val="center"/>
            </w:pPr>
            <w:r>
              <w:rPr>
                <w:rFonts w:ascii="仿宋" w:hAnsi="仿宋" w:eastAsia="仿宋"/>
              </w:rPr>
              <w:t>立项</w:t>
            </w:r>
          </w:p>
        </w:tc>
        <w:tc>
          <w:tcPr>
            <w:tcW w:w="3685" w:type="dxa"/>
            <w:vAlign w:val="center"/>
          </w:tcPr>
          <w:p w14:paraId="5185E3F0">
            <w:pPr>
              <w:spacing w:after="0" w:line="240" w:lineRule="auto"/>
            </w:pPr>
            <w:r>
              <w:rPr>
                <w:rFonts w:ascii="仿宋" w:hAnsi="仿宋" w:eastAsia="仿宋"/>
              </w:rPr>
              <w:t>形式审查反馈</w:t>
            </w:r>
          </w:p>
        </w:tc>
        <w:tc>
          <w:tcPr>
            <w:tcW w:w="2835" w:type="dxa"/>
            <w:vAlign w:val="center"/>
          </w:tcPr>
          <w:p w14:paraId="188656CA">
            <w:pPr>
              <w:spacing w:after="0" w:line="240" w:lineRule="auto"/>
              <w:jc w:val="center"/>
            </w:pPr>
            <w:r>
              <w:rPr>
                <w:rFonts w:ascii="仿宋" w:hAnsi="仿宋" w:eastAsia="仿宋"/>
              </w:rPr>
              <w:t>10个工作日内</w:t>
            </w:r>
          </w:p>
        </w:tc>
      </w:tr>
      <w:tr w14:paraId="7D94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76D8C1D4">
            <w:pPr>
              <w:spacing w:after="0" w:line="240" w:lineRule="auto"/>
              <w:jc w:val="center"/>
            </w:pPr>
            <w:r>
              <w:rPr>
                <w:rFonts w:ascii="仿宋" w:hAnsi="仿宋" w:eastAsia="仿宋"/>
              </w:rPr>
              <w:t>立项</w:t>
            </w:r>
          </w:p>
        </w:tc>
        <w:tc>
          <w:tcPr>
            <w:tcW w:w="3685" w:type="dxa"/>
            <w:vAlign w:val="center"/>
          </w:tcPr>
          <w:p w14:paraId="7490D3D4">
            <w:pPr>
              <w:spacing w:after="0" w:line="240" w:lineRule="auto"/>
            </w:pPr>
            <w:r>
              <w:rPr>
                <w:rFonts w:ascii="仿宋" w:hAnsi="仿宋" w:eastAsia="仿宋"/>
              </w:rPr>
              <w:t>立项论证会</w:t>
            </w:r>
          </w:p>
        </w:tc>
        <w:tc>
          <w:tcPr>
            <w:tcW w:w="2835" w:type="dxa"/>
            <w:vAlign w:val="center"/>
          </w:tcPr>
          <w:p w14:paraId="731B68EB">
            <w:pPr>
              <w:spacing w:after="0" w:line="240" w:lineRule="auto"/>
              <w:jc w:val="center"/>
            </w:pPr>
            <w:r>
              <w:rPr>
                <w:rFonts w:ascii="仿宋" w:hAnsi="仿宋" w:eastAsia="仿宋"/>
              </w:rPr>
              <w:t>每季度末月中下旬</w:t>
            </w:r>
          </w:p>
        </w:tc>
      </w:tr>
      <w:tr w14:paraId="5DE8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56F28999">
            <w:pPr>
              <w:spacing w:after="0" w:line="240" w:lineRule="auto"/>
              <w:jc w:val="center"/>
            </w:pPr>
            <w:r>
              <w:rPr>
                <w:rFonts w:ascii="仿宋" w:hAnsi="仿宋" w:eastAsia="仿宋"/>
              </w:rPr>
              <w:t>立项</w:t>
            </w:r>
          </w:p>
        </w:tc>
        <w:tc>
          <w:tcPr>
            <w:tcW w:w="3685" w:type="dxa"/>
            <w:vAlign w:val="center"/>
          </w:tcPr>
          <w:p w14:paraId="3195999C">
            <w:pPr>
              <w:spacing w:after="0" w:line="240" w:lineRule="auto"/>
            </w:pPr>
            <w:r>
              <w:rPr>
                <w:rFonts w:ascii="仿宋" w:hAnsi="仿宋" w:eastAsia="仿宋"/>
              </w:rPr>
              <w:t>立项公告公示</w:t>
            </w:r>
          </w:p>
        </w:tc>
        <w:tc>
          <w:tcPr>
            <w:tcW w:w="2835" w:type="dxa"/>
            <w:vAlign w:val="center"/>
          </w:tcPr>
          <w:p w14:paraId="5332C625">
            <w:pPr>
              <w:spacing w:after="0" w:line="240" w:lineRule="auto"/>
              <w:jc w:val="center"/>
            </w:pPr>
            <w:r>
              <w:rPr>
                <w:rFonts w:ascii="仿宋" w:hAnsi="仿宋" w:eastAsia="仿宋"/>
              </w:rPr>
              <w:t>7个工作日</w:t>
            </w:r>
          </w:p>
        </w:tc>
      </w:tr>
      <w:tr w14:paraId="27E5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35487D66">
            <w:pPr>
              <w:spacing w:after="0" w:line="240" w:lineRule="auto"/>
              <w:jc w:val="center"/>
            </w:pPr>
            <w:r>
              <w:rPr>
                <w:rFonts w:ascii="仿宋" w:hAnsi="仿宋" w:eastAsia="仿宋"/>
              </w:rPr>
              <w:t>立项</w:t>
            </w:r>
          </w:p>
        </w:tc>
        <w:tc>
          <w:tcPr>
            <w:tcW w:w="3685" w:type="dxa"/>
            <w:vAlign w:val="center"/>
          </w:tcPr>
          <w:p w14:paraId="38FF77D0">
            <w:pPr>
              <w:spacing w:after="0" w:line="240" w:lineRule="auto"/>
            </w:pPr>
            <w:r>
              <w:rPr>
                <w:rFonts w:ascii="仿宋" w:hAnsi="仿宋" w:eastAsia="仿宋"/>
              </w:rPr>
              <w:t>签订合作协议</w:t>
            </w:r>
          </w:p>
        </w:tc>
        <w:tc>
          <w:tcPr>
            <w:tcW w:w="2835" w:type="dxa"/>
            <w:vAlign w:val="center"/>
          </w:tcPr>
          <w:p w14:paraId="3BA44486">
            <w:pPr>
              <w:spacing w:after="0" w:line="240" w:lineRule="auto"/>
              <w:jc w:val="center"/>
            </w:pPr>
            <w:r>
              <w:rPr>
                <w:rFonts w:ascii="仿宋" w:hAnsi="仿宋" w:eastAsia="仿宋"/>
              </w:rPr>
              <w:t>立项后1个月内</w:t>
            </w:r>
          </w:p>
        </w:tc>
      </w:tr>
      <w:tr w14:paraId="2EB1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2E50E8BC">
            <w:pPr>
              <w:spacing w:after="0" w:line="240" w:lineRule="auto"/>
              <w:jc w:val="center"/>
            </w:pPr>
            <w:r>
              <w:rPr>
                <w:rFonts w:ascii="仿宋" w:hAnsi="仿宋" w:eastAsia="仿宋"/>
              </w:rPr>
              <w:t>编制</w:t>
            </w:r>
          </w:p>
        </w:tc>
        <w:tc>
          <w:tcPr>
            <w:tcW w:w="3685" w:type="dxa"/>
            <w:vAlign w:val="center"/>
          </w:tcPr>
          <w:p w14:paraId="70FD30C3">
            <w:pPr>
              <w:spacing w:after="0" w:line="240" w:lineRule="auto"/>
            </w:pPr>
            <w:r>
              <w:rPr>
                <w:rFonts w:ascii="仿宋" w:hAnsi="仿宋" w:eastAsia="仿宋"/>
              </w:rPr>
              <w:t>组建工作组与启动会</w:t>
            </w:r>
          </w:p>
        </w:tc>
        <w:tc>
          <w:tcPr>
            <w:tcW w:w="2835" w:type="dxa"/>
            <w:vAlign w:val="center"/>
          </w:tcPr>
          <w:p w14:paraId="3C449915">
            <w:pPr>
              <w:spacing w:after="0" w:line="240" w:lineRule="auto"/>
              <w:jc w:val="center"/>
            </w:pPr>
            <w:r>
              <w:rPr>
                <w:rFonts w:ascii="仿宋" w:hAnsi="仿宋" w:eastAsia="仿宋"/>
              </w:rPr>
              <w:t>立项后1个月内</w:t>
            </w:r>
          </w:p>
        </w:tc>
      </w:tr>
      <w:tr w14:paraId="15B9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6E2F0A8A">
            <w:pPr>
              <w:spacing w:after="0" w:line="240" w:lineRule="auto"/>
              <w:jc w:val="center"/>
            </w:pPr>
            <w:r>
              <w:rPr>
                <w:rFonts w:ascii="仿宋" w:hAnsi="仿宋" w:eastAsia="仿宋"/>
              </w:rPr>
              <w:t>编制</w:t>
            </w:r>
          </w:p>
        </w:tc>
        <w:tc>
          <w:tcPr>
            <w:tcW w:w="3685" w:type="dxa"/>
            <w:vAlign w:val="center"/>
          </w:tcPr>
          <w:p w14:paraId="1DB43969">
            <w:pPr>
              <w:spacing w:after="0" w:line="240" w:lineRule="auto"/>
            </w:pPr>
            <w:r>
              <w:rPr>
                <w:rFonts w:ascii="仿宋" w:hAnsi="仿宋" w:eastAsia="仿宋"/>
              </w:rPr>
              <w:t>公开征求意见</w:t>
            </w:r>
          </w:p>
        </w:tc>
        <w:tc>
          <w:tcPr>
            <w:tcW w:w="2835" w:type="dxa"/>
            <w:vAlign w:val="center"/>
          </w:tcPr>
          <w:p w14:paraId="260B2C91">
            <w:pPr>
              <w:spacing w:after="0" w:line="240" w:lineRule="auto"/>
              <w:jc w:val="center"/>
            </w:pPr>
            <w:r>
              <w:rPr>
                <w:rFonts w:ascii="仿宋" w:hAnsi="仿宋" w:eastAsia="仿宋"/>
              </w:rPr>
              <w:t>不少于30日</w:t>
            </w:r>
          </w:p>
        </w:tc>
      </w:tr>
      <w:tr w14:paraId="01FB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05668921">
            <w:pPr>
              <w:spacing w:after="0" w:line="240" w:lineRule="auto"/>
              <w:jc w:val="center"/>
            </w:pPr>
            <w:r>
              <w:rPr>
                <w:rFonts w:ascii="仿宋" w:hAnsi="仿宋" w:eastAsia="仿宋"/>
              </w:rPr>
              <w:t>编制</w:t>
            </w:r>
          </w:p>
        </w:tc>
        <w:tc>
          <w:tcPr>
            <w:tcW w:w="3685" w:type="dxa"/>
            <w:vAlign w:val="center"/>
          </w:tcPr>
          <w:p w14:paraId="49A76033">
            <w:pPr>
              <w:spacing w:after="0" w:line="240" w:lineRule="auto"/>
            </w:pPr>
            <w:r>
              <w:rPr>
                <w:rFonts w:ascii="仿宋" w:hAnsi="仿宋" w:eastAsia="仿宋"/>
              </w:rPr>
              <w:t>总编制周期</w:t>
            </w:r>
          </w:p>
        </w:tc>
        <w:tc>
          <w:tcPr>
            <w:tcW w:w="2835" w:type="dxa"/>
            <w:vAlign w:val="center"/>
          </w:tcPr>
          <w:p w14:paraId="35225A9F">
            <w:pPr>
              <w:spacing w:after="0" w:line="240" w:lineRule="auto"/>
              <w:jc w:val="center"/>
              <w:rPr>
                <w:lang w:eastAsia="zh-CN"/>
              </w:rPr>
            </w:pPr>
            <w:r>
              <w:rPr>
                <w:rFonts w:ascii="仿宋" w:hAnsi="仿宋" w:eastAsia="仿宋"/>
                <w:lang w:eastAsia="zh-CN"/>
              </w:rPr>
              <w:t>不超过12个月（可延期≤6个月）</w:t>
            </w:r>
          </w:p>
        </w:tc>
      </w:tr>
      <w:tr w14:paraId="2CD7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21DD5C26">
            <w:pPr>
              <w:spacing w:after="0" w:line="240" w:lineRule="auto"/>
              <w:jc w:val="center"/>
            </w:pPr>
            <w:r>
              <w:rPr>
                <w:rFonts w:ascii="仿宋" w:hAnsi="仿宋" w:eastAsia="仿宋"/>
              </w:rPr>
              <w:t>审查</w:t>
            </w:r>
          </w:p>
        </w:tc>
        <w:tc>
          <w:tcPr>
            <w:tcW w:w="3685" w:type="dxa"/>
            <w:vAlign w:val="center"/>
          </w:tcPr>
          <w:p w14:paraId="4424D94D">
            <w:pPr>
              <w:spacing w:after="0" w:line="240" w:lineRule="auto"/>
            </w:pPr>
            <w:r>
              <w:rPr>
                <w:rFonts w:ascii="仿宋" w:hAnsi="仿宋" w:eastAsia="仿宋"/>
              </w:rPr>
              <w:t>形式审查反馈</w:t>
            </w:r>
          </w:p>
        </w:tc>
        <w:tc>
          <w:tcPr>
            <w:tcW w:w="2835" w:type="dxa"/>
            <w:vAlign w:val="center"/>
          </w:tcPr>
          <w:p w14:paraId="54B131FE">
            <w:pPr>
              <w:spacing w:after="0" w:line="240" w:lineRule="auto"/>
              <w:jc w:val="center"/>
            </w:pPr>
            <w:r>
              <w:rPr>
                <w:rFonts w:ascii="仿宋" w:hAnsi="仿宋" w:eastAsia="仿宋"/>
              </w:rPr>
              <w:t>10个工作日内</w:t>
            </w:r>
          </w:p>
        </w:tc>
      </w:tr>
      <w:tr w14:paraId="1C2F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6C141422">
            <w:pPr>
              <w:spacing w:after="0" w:line="240" w:lineRule="auto"/>
              <w:jc w:val="center"/>
            </w:pPr>
            <w:r>
              <w:rPr>
                <w:rFonts w:ascii="仿宋" w:hAnsi="仿宋" w:eastAsia="仿宋"/>
              </w:rPr>
              <w:t>审查</w:t>
            </w:r>
          </w:p>
        </w:tc>
        <w:tc>
          <w:tcPr>
            <w:tcW w:w="3685" w:type="dxa"/>
            <w:vAlign w:val="center"/>
          </w:tcPr>
          <w:p w14:paraId="59555536">
            <w:pPr>
              <w:spacing w:after="0" w:line="240" w:lineRule="auto"/>
            </w:pPr>
            <w:r>
              <w:rPr>
                <w:rFonts w:ascii="仿宋" w:hAnsi="仿宋" w:eastAsia="仿宋"/>
              </w:rPr>
              <w:t>修改形成报批稿</w:t>
            </w:r>
          </w:p>
        </w:tc>
        <w:tc>
          <w:tcPr>
            <w:tcW w:w="2835" w:type="dxa"/>
            <w:vAlign w:val="center"/>
          </w:tcPr>
          <w:p w14:paraId="39B2D202">
            <w:pPr>
              <w:spacing w:after="0" w:line="240" w:lineRule="auto"/>
              <w:jc w:val="center"/>
            </w:pPr>
            <w:r>
              <w:rPr>
                <w:rFonts w:ascii="仿宋" w:hAnsi="仿宋" w:eastAsia="仿宋"/>
              </w:rPr>
              <w:t>审查会后2周内</w:t>
            </w:r>
          </w:p>
        </w:tc>
      </w:tr>
      <w:tr w14:paraId="2897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6140B064">
            <w:pPr>
              <w:spacing w:after="0" w:line="240" w:lineRule="auto"/>
              <w:jc w:val="center"/>
            </w:pPr>
            <w:r>
              <w:rPr>
                <w:rFonts w:ascii="仿宋" w:hAnsi="仿宋" w:eastAsia="仿宋"/>
              </w:rPr>
              <w:t>发布</w:t>
            </w:r>
          </w:p>
        </w:tc>
        <w:tc>
          <w:tcPr>
            <w:tcW w:w="3685" w:type="dxa"/>
            <w:vAlign w:val="center"/>
          </w:tcPr>
          <w:p w14:paraId="09BBDEAC">
            <w:pPr>
              <w:spacing w:after="0" w:line="240" w:lineRule="auto"/>
            </w:pPr>
            <w:r>
              <w:rPr>
                <w:rFonts w:ascii="仿宋" w:hAnsi="仿宋" w:eastAsia="仿宋"/>
              </w:rPr>
              <w:t>公示期</w:t>
            </w:r>
          </w:p>
        </w:tc>
        <w:tc>
          <w:tcPr>
            <w:tcW w:w="2835" w:type="dxa"/>
            <w:vAlign w:val="center"/>
          </w:tcPr>
          <w:p w14:paraId="075A2702">
            <w:pPr>
              <w:spacing w:after="0" w:line="240" w:lineRule="auto"/>
              <w:jc w:val="center"/>
            </w:pPr>
            <w:r>
              <w:rPr>
                <w:rFonts w:ascii="仿宋" w:hAnsi="仿宋" w:eastAsia="仿宋"/>
              </w:rPr>
              <w:t>15个工作日</w:t>
            </w:r>
          </w:p>
        </w:tc>
      </w:tr>
      <w:tr w14:paraId="2004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499524BF">
            <w:pPr>
              <w:spacing w:after="0" w:line="240" w:lineRule="auto"/>
              <w:jc w:val="center"/>
            </w:pPr>
            <w:r>
              <w:rPr>
                <w:rFonts w:ascii="仿宋" w:hAnsi="仿宋" w:eastAsia="仿宋"/>
              </w:rPr>
              <w:t>发布</w:t>
            </w:r>
          </w:p>
        </w:tc>
        <w:tc>
          <w:tcPr>
            <w:tcW w:w="3685" w:type="dxa"/>
            <w:vAlign w:val="center"/>
          </w:tcPr>
          <w:p w14:paraId="79AF7E76">
            <w:pPr>
              <w:spacing w:after="0" w:line="240" w:lineRule="auto"/>
            </w:pPr>
            <w:r>
              <w:rPr>
                <w:rFonts w:ascii="仿宋" w:hAnsi="仿宋" w:eastAsia="仿宋"/>
              </w:rPr>
              <w:t>公示意见处理报告</w:t>
            </w:r>
          </w:p>
        </w:tc>
        <w:tc>
          <w:tcPr>
            <w:tcW w:w="2835" w:type="dxa"/>
            <w:vAlign w:val="center"/>
          </w:tcPr>
          <w:p w14:paraId="5C937538">
            <w:pPr>
              <w:spacing w:after="0" w:line="240" w:lineRule="auto"/>
              <w:jc w:val="center"/>
              <w:rPr>
                <w:lang w:eastAsia="zh-CN"/>
              </w:rPr>
            </w:pPr>
            <w:r>
              <w:rPr>
                <w:rFonts w:ascii="仿宋" w:hAnsi="仿宋" w:eastAsia="仿宋"/>
                <w:lang w:eastAsia="zh-CN"/>
              </w:rPr>
              <w:t>公示期满后10个工作日内</w:t>
            </w:r>
          </w:p>
        </w:tc>
      </w:tr>
      <w:tr w14:paraId="1784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720775A8">
            <w:pPr>
              <w:spacing w:after="0" w:line="240" w:lineRule="auto"/>
              <w:jc w:val="center"/>
            </w:pPr>
            <w:r>
              <w:rPr>
                <w:rFonts w:ascii="仿宋" w:hAnsi="仿宋" w:eastAsia="仿宋"/>
              </w:rPr>
              <w:t>发布后</w:t>
            </w:r>
          </w:p>
        </w:tc>
        <w:tc>
          <w:tcPr>
            <w:tcW w:w="3685" w:type="dxa"/>
            <w:vAlign w:val="center"/>
          </w:tcPr>
          <w:p w14:paraId="23399F40">
            <w:pPr>
              <w:spacing w:after="0" w:line="240" w:lineRule="auto"/>
            </w:pPr>
            <w:r>
              <w:rPr>
                <w:rFonts w:ascii="仿宋" w:hAnsi="仿宋" w:eastAsia="仿宋"/>
              </w:rPr>
              <w:t>目标用户评价</w:t>
            </w:r>
          </w:p>
        </w:tc>
        <w:tc>
          <w:tcPr>
            <w:tcW w:w="2835" w:type="dxa"/>
            <w:vAlign w:val="center"/>
          </w:tcPr>
          <w:p w14:paraId="749F1F68">
            <w:pPr>
              <w:spacing w:after="0" w:line="240" w:lineRule="auto"/>
              <w:jc w:val="center"/>
            </w:pPr>
            <w:r>
              <w:rPr>
                <w:rFonts w:ascii="仿宋" w:hAnsi="仿宋" w:eastAsia="仿宋"/>
              </w:rPr>
              <w:t>发布后6个月内</w:t>
            </w:r>
          </w:p>
        </w:tc>
      </w:tr>
      <w:tr w14:paraId="75FA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5C884442">
            <w:pPr>
              <w:spacing w:after="0" w:line="240" w:lineRule="auto"/>
              <w:jc w:val="center"/>
            </w:pPr>
            <w:r>
              <w:rPr>
                <w:rFonts w:ascii="仿宋" w:hAnsi="仿宋" w:eastAsia="仿宋"/>
              </w:rPr>
              <w:t>发布后</w:t>
            </w:r>
          </w:p>
        </w:tc>
        <w:tc>
          <w:tcPr>
            <w:tcW w:w="3685" w:type="dxa"/>
            <w:vAlign w:val="center"/>
          </w:tcPr>
          <w:p w14:paraId="72AF7FD3">
            <w:pPr>
              <w:spacing w:after="0" w:line="240" w:lineRule="auto"/>
            </w:pPr>
            <w:r>
              <w:rPr>
                <w:rFonts w:ascii="仿宋" w:hAnsi="仿宋" w:eastAsia="仿宋"/>
              </w:rPr>
              <w:t>定期复审</w:t>
            </w:r>
          </w:p>
        </w:tc>
        <w:tc>
          <w:tcPr>
            <w:tcW w:w="2835" w:type="dxa"/>
            <w:vAlign w:val="center"/>
          </w:tcPr>
          <w:p w14:paraId="51C7B86A">
            <w:pPr>
              <w:spacing w:after="0" w:line="240" w:lineRule="auto"/>
              <w:jc w:val="center"/>
            </w:pPr>
            <w:r>
              <w:rPr>
                <w:rFonts w:ascii="仿宋" w:hAnsi="仿宋" w:eastAsia="仿宋"/>
              </w:rPr>
              <w:t>每3年</w:t>
            </w:r>
          </w:p>
        </w:tc>
      </w:tr>
    </w:tbl>
    <w:p w14:paraId="288A3279">
      <w:pPr>
        <w:spacing w:before="720"/>
        <w:jc w:val="right"/>
        <w:rPr>
          <w:lang w:eastAsia="zh-CN"/>
        </w:rPr>
      </w:pPr>
      <w:r>
        <w:rPr>
          <w:rFonts w:ascii="仿宋" w:hAnsi="仿宋" w:eastAsia="仿宋"/>
          <w:sz w:val="28"/>
          <w:lang w:eastAsia="zh-CN"/>
        </w:rPr>
        <w:t>中国国际科技促进会标准化工作委员会</w:t>
      </w:r>
    </w:p>
    <w:p w14:paraId="58BF0D38">
      <w:pPr>
        <w:jc w:val="right"/>
      </w:pPr>
      <w:r>
        <w:rPr>
          <w:rFonts w:ascii="仿宋" w:hAnsi="仿宋" w:eastAsia="仿宋"/>
          <w:sz w:val="28"/>
        </w:rPr>
        <w:t>二〇二六年    月    日</w:t>
      </w:r>
    </w:p>
    <w:sectPr>
      <w:pgSz w:w="12240" w:h="15840"/>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简体">
    <w:altName w:val="Arial Unicode MS"/>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ＭＳ 明朝">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7FFAEFF" w:usb1="F9DFFFFF" w:usb2="0000007F" w:usb3="00000000" w:csb0="203F01FF" w:csb1="DFFF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E0886"/>
    <w:rsid w:val="0015074B"/>
    <w:rsid w:val="0029639D"/>
    <w:rsid w:val="00326F90"/>
    <w:rsid w:val="004C0F86"/>
    <w:rsid w:val="00A83A36"/>
    <w:rsid w:val="00AA1D8D"/>
    <w:rsid w:val="00B47730"/>
    <w:rsid w:val="00CB0664"/>
    <w:rsid w:val="00D23AB3"/>
    <w:rsid w:val="00FC693F"/>
    <w:rsid w:val="6D47227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67"/>
    <w:unhideWhenUsed/>
    <w:qFormat/>
    <w:uiPriority w:val="99"/>
  </w:style>
  <w:style w:type="paragraph" w:styleId="18">
    <w:name w:val="Body Text 3"/>
    <w:basedOn w:val="1"/>
    <w:link w:val="149"/>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3">
    <w:name w:val="annotation subject"/>
    <w:basedOn w:val="17"/>
    <w:next w:val="17"/>
    <w:link w:val="168"/>
    <w:semiHidden/>
    <w:unhideWhenUsed/>
    <w:qFormat/>
    <w:uiPriority w:val="99"/>
    <w:rPr>
      <w:b/>
      <w:bCs/>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uiPriority w:val="99"/>
    <w:rPr>
      <w:sz w:val="21"/>
      <w:szCs w:val="21"/>
    </w:rPr>
  </w:style>
  <w:style w:type="character" w:customStyle="1" w:styleId="138">
    <w:name w:val="页眉 字符"/>
    <w:basedOn w:val="134"/>
    <w:link w:val="26"/>
    <w:qFormat/>
    <w:uiPriority w:val="99"/>
  </w:style>
  <w:style w:type="character" w:customStyle="1" w:styleId="139">
    <w:name w:val="页脚 字符"/>
    <w:basedOn w:val="134"/>
    <w:link w:val="25"/>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20"/>
    <w:qFormat/>
    <w:uiPriority w:val="99"/>
  </w:style>
  <w:style w:type="character" w:customStyle="1" w:styleId="148">
    <w:name w:val="正文文本 2 字符"/>
    <w:basedOn w:val="134"/>
    <w:link w:val="29"/>
    <w:qFormat/>
    <w:uiPriority w:val="99"/>
  </w:style>
  <w:style w:type="character" w:customStyle="1" w:styleId="149">
    <w:name w:val="正文文本 3 字符"/>
    <w:basedOn w:val="134"/>
    <w:link w:val="18"/>
    <w:qFormat/>
    <w:uiPriority w:val="99"/>
    <w:rPr>
      <w:sz w:val="16"/>
      <w:szCs w:val="16"/>
    </w:rPr>
  </w:style>
  <w:style w:type="character" w:customStyle="1" w:styleId="150">
    <w:name w:val="宏文本 字符"/>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qFormat/>
    <w:uiPriority w:val="29"/>
    <w:rPr>
      <w:i/>
      <w:iCs/>
      <w:color w:val="000000" w:themeColor="text1"/>
      <w14:textFill>
        <w14:solidFill>
          <w14:schemeClr w14:val="tx1"/>
        </w14:solidFill>
      </w14:textFill>
    </w:rPr>
  </w:style>
  <w:style w:type="character" w:customStyle="1" w:styleId="153">
    <w:name w:val="标题 4 字符"/>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qFormat/>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character" w:customStyle="1" w:styleId="167">
    <w:name w:val="批注文字 字符"/>
    <w:basedOn w:val="134"/>
    <w:link w:val="17"/>
    <w:qFormat/>
    <w:uiPriority w:val="99"/>
  </w:style>
  <w:style w:type="character" w:customStyle="1" w:styleId="168">
    <w:name w:val="批注主题 字符"/>
    <w:basedOn w:val="167"/>
    <w:link w:val="33"/>
    <w:semiHidden/>
    <w:qFormat/>
    <w:uiPriority w:val="99"/>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5</Pages>
  <Words>2210</Words>
  <Characters>2292</Characters>
  <Lines>217</Lines>
  <Paragraphs>213</Paragraphs>
  <TotalTime>12</TotalTime>
  <ScaleCrop>false</ScaleCrop>
  <LinksUpToDate>false</LinksUpToDate>
  <CharactersWithSpaces>2307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2026-09-14T02:18:00Z</dcterms:created>
  <dc:creator>python-docx</dc:creator>
  <dc:description>generated by python-docx</dc:description>
  <cp:lastModifiedBy>郑华林</cp:lastModifiedBy>
  <dcterms:modified xsi:type="dcterms:W3CDTF">2026-09-15T00:05:06Z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eyJoZGlkIjoiZWM3ZDBjNTg0YTU0MjQ0NTAxNmZmYWRkNjRhMjUyNzIiLCJ1c2VySWQiOiI1NjA4NzU2ODIifQ==</vt:lpwstr>
  </property>
  <property fmtid="{D5CDD505-2E9C-101B-9397-08002B2CF9AE}" pid="3" name="KSOProductBuildVer">
    <vt:lpwstr>2052-12.1.0.28043</vt:lpwstr>
  </property>
  <property fmtid="{D5CDD505-2E9C-101B-9397-08002B2CF9AE}" pid="4" name="ICV">
    <vt:lpwstr>B822955BC67F4658AE6454ED748C424F_13</vt:lpwstr>
  </property>
</Properties>
</file>