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7C7BA">
      <w:pPr>
        <w:spacing w:before="480" w:after="480"/>
        <w:jc w:val="center"/>
        <w:rPr>
          <w:lang w:eastAsia="zh-CN"/>
        </w:rPr>
      </w:pPr>
      <w:r>
        <w:rPr>
          <w:rFonts w:ascii="方正小标宋简体" w:hAnsi="方正小标宋简体" w:eastAsia="宋体"/>
          <w:b/>
          <w:sz w:val="44"/>
          <w:lang w:eastAsia="zh-CN"/>
        </w:rPr>
        <w:t>中国国际科技促进会专家共识工作管理办法</w:t>
      </w:r>
    </w:p>
    <w:p w14:paraId="72161471">
      <w:pPr>
        <w:spacing w:before="360" w:after="240"/>
        <w:jc w:val="center"/>
        <w:rPr>
          <w:lang w:eastAsia="zh-CN"/>
        </w:rPr>
      </w:pPr>
      <w:r>
        <w:rPr>
          <w:rFonts w:ascii="黑体" w:hAnsi="黑体" w:eastAsia="黑体"/>
          <w:b/>
          <w:sz w:val="32"/>
          <w:lang w:eastAsia="zh-CN"/>
        </w:rPr>
        <w:t>第一章  总  则</w:t>
      </w:r>
    </w:p>
    <w:p w14:paraId="541B2637">
      <w:pPr>
        <w:spacing w:after="80" w:line="360" w:lineRule="auto"/>
        <w:ind w:firstLine="420"/>
        <w:rPr>
          <w:lang w:eastAsia="zh-CN"/>
        </w:rPr>
      </w:pPr>
      <w:r>
        <w:rPr>
          <w:rFonts w:ascii="仿宋" w:hAnsi="仿宋" w:eastAsia="仿宋"/>
          <w:sz w:val="30"/>
          <w:lang w:eastAsia="zh-CN"/>
        </w:rPr>
        <w:t>第一条  为规范中国国际科技促进会（以下简称"科促会"）专家共识的制定、发布、实施和管理工作，保证专家共识质量，确保专家共识研制过程科学、公平、公正、公开，充分发挥专家共识在推动科技创新、促进科技成果转化、引领行业规范发展中的重要作用，根据《中国国际科技促进会章程》《中国国际科技促进会专家工作管理办法》《中国国际科技促进会标准化工作委员会团体标准管理办法》等有关规定，结合科促会工作实际，制定本办法。</w:t>
      </w:r>
    </w:p>
    <w:p w14:paraId="3095ECDD">
      <w:pPr>
        <w:spacing w:after="80" w:line="360" w:lineRule="auto"/>
        <w:ind w:firstLine="420"/>
        <w:rPr>
          <w:lang w:eastAsia="zh-CN"/>
        </w:rPr>
      </w:pPr>
      <w:r>
        <w:rPr>
          <w:rFonts w:ascii="仿宋" w:hAnsi="仿宋" w:eastAsia="仿宋"/>
          <w:sz w:val="30"/>
          <w:lang w:eastAsia="zh-CN"/>
        </w:rPr>
        <w:t>第二条  本办法所称专家共识，是指由科促会组织相关领域专家，针对特定科学技术问题、技术应用场景或行业发展需求，在系统梳理现有证据和实践经验的基础上，经过充分协商和科学论证达成的一致性专业意见文件。</w:t>
      </w:r>
    </w:p>
    <w:p w14:paraId="02ACAECF">
      <w:pPr>
        <w:spacing w:after="80" w:line="360" w:lineRule="auto"/>
        <w:ind w:firstLine="420"/>
        <w:rPr>
          <w:lang w:eastAsia="zh-CN"/>
        </w:rPr>
      </w:pPr>
      <w:r>
        <w:rPr>
          <w:rFonts w:ascii="仿宋" w:hAnsi="仿宋" w:eastAsia="仿宋"/>
          <w:sz w:val="30"/>
          <w:lang w:eastAsia="zh-CN"/>
        </w:rPr>
        <w:t>专家共识是介于学术研究成果与正式标准之间的规范性技术文件，可为团体标准、行业标准乃至国家标准的制定提供前期基础和技术储备，在尚无标准或标准不完善的领域发挥技术指引和规范引导作用。</w:t>
      </w:r>
    </w:p>
    <w:p w14:paraId="35BAEA7B">
      <w:pPr>
        <w:spacing w:after="80" w:line="360" w:lineRule="auto"/>
        <w:ind w:firstLine="420"/>
        <w:rPr>
          <w:lang w:eastAsia="zh-CN"/>
        </w:rPr>
      </w:pPr>
      <w:r>
        <w:rPr>
          <w:rFonts w:ascii="仿宋" w:hAnsi="仿宋" w:eastAsia="仿宋"/>
          <w:sz w:val="30"/>
          <w:lang w:eastAsia="zh-CN"/>
        </w:rPr>
        <w:t>第三条  本办法适用于科促会专家共识的立项、编制、审查、批准、发布、实施、推广、复审、修订、废止及相关管理活动。</w:t>
      </w:r>
    </w:p>
    <w:p w14:paraId="5EC23BC3">
      <w:pPr>
        <w:spacing w:after="80" w:line="360" w:lineRule="auto"/>
        <w:ind w:firstLine="420"/>
        <w:rPr>
          <w:lang w:eastAsia="zh-CN"/>
        </w:rPr>
      </w:pPr>
      <w:r>
        <w:rPr>
          <w:rFonts w:ascii="仿宋" w:hAnsi="仿宋" w:eastAsia="仿宋"/>
          <w:sz w:val="30"/>
          <w:lang w:eastAsia="zh-CN"/>
        </w:rPr>
        <w:t>第四条  专家共识工作遵循以下原则：</w:t>
      </w:r>
    </w:p>
    <w:p w14:paraId="5C7B98D5">
      <w:pPr>
        <w:spacing w:after="40" w:line="360" w:lineRule="auto"/>
        <w:ind w:firstLine="420"/>
        <w:rPr>
          <w:lang w:eastAsia="zh-CN"/>
        </w:rPr>
      </w:pPr>
      <w:r>
        <w:rPr>
          <w:rFonts w:ascii="仿宋" w:hAnsi="仿宋" w:eastAsia="仿宋"/>
          <w:sz w:val="30"/>
          <w:lang w:eastAsia="zh-CN"/>
        </w:rPr>
        <w:t>（一）科学严谨。以科学证据和实践经验为基础，采用规范的研究方法和论证程序，确保共识内容的科学性和可靠性。</w:t>
      </w:r>
    </w:p>
    <w:p w14:paraId="0CA2F9ED">
      <w:pPr>
        <w:spacing w:after="40" w:line="360" w:lineRule="auto"/>
        <w:ind w:firstLine="420"/>
        <w:rPr>
          <w:lang w:eastAsia="zh-CN"/>
        </w:rPr>
      </w:pPr>
      <w:r>
        <w:rPr>
          <w:rFonts w:ascii="仿宋" w:hAnsi="仿宋" w:eastAsia="仿宋"/>
          <w:sz w:val="30"/>
          <w:lang w:eastAsia="zh-CN"/>
        </w:rPr>
        <w:t>（二）公开透明。立项、编制、审查、发布等各环节信息公开，广泛吸纳相关方参与，接受社会监督。</w:t>
      </w:r>
    </w:p>
    <w:p w14:paraId="635AA4B4">
      <w:pPr>
        <w:spacing w:after="40" w:line="360" w:lineRule="auto"/>
        <w:ind w:firstLine="420"/>
        <w:rPr>
          <w:lang w:eastAsia="zh-CN"/>
        </w:rPr>
      </w:pPr>
      <w:r>
        <w:rPr>
          <w:rFonts w:ascii="仿宋" w:hAnsi="仿宋" w:eastAsia="仿宋"/>
          <w:sz w:val="30"/>
          <w:lang w:eastAsia="zh-CN"/>
        </w:rPr>
        <w:t>（三）协商一致。充分听取各方面意见，通过多轮论证和表决程序达成共识，尊重不同学术观点。</w:t>
      </w:r>
    </w:p>
    <w:p w14:paraId="276D82A8">
      <w:pPr>
        <w:spacing w:after="40" w:line="360" w:lineRule="auto"/>
        <w:ind w:firstLine="420"/>
        <w:rPr>
          <w:lang w:eastAsia="zh-CN"/>
        </w:rPr>
      </w:pPr>
      <w:r>
        <w:rPr>
          <w:rFonts w:ascii="仿宋" w:hAnsi="仿宋" w:eastAsia="仿宋"/>
          <w:sz w:val="30"/>
          <w:lang w:eastAsia="zh-CN"/>
        </w:rPr>
        <w:t>（四）实用导向。聚焦行业实际需求和技术痛点，注重共识的可操作性和推广价值。</w:t>
      </w:r>
    </w:p>
    <w:p w14:paraId="2F3A24C6">
      <w:pPr>
        <w:spacing w:after="40" w:line="360" w:lineRule="auto"/>
        <w:ind w:firstLine="420"/>
        <w:rPr>
          <w:lang w:eastAsia="zh-CN"/>
        </w:rPr>
      </w:pPr>
      <w:r>
        <w:rPr>
          <w:rFonts w:ascii="仿宋" w:hAnsi="仿宋" w:eastAsia="仿宋"/>
          <w:sz w:val="30"/>
          <w:lang w:eastAsia="zh-CN"/>
        </w:rPr>
        <w:t>（五）利益回避。建立健全利益冲突声明和回避机制，保障共识编制的独立性和公正性。</w:t>
      </w:r>
    </w:p>
    <w:p w14:paraId="64A18D2E">
      <w:pPr>
        <w:spacing w:after="80" w:line="360" w:lineRule="auto"/>
        <w:ind w:firstLine="420"/>
        <w:rPr>
          <w:lang w:eastAsia="zh-CN"/>
        </w:rPr>
      </w:pPr>
      <w:r>
        <w:rPr>
          <w:rFonts w:ascii="仿宋" w:hAnsi="仿宋" w:eastAsia="仿宋"/>
          <w:sz w:val="30"/>
          <w:lang w:eastAsia="zh-CN"/>
        </w:rPr>
        <w:t>第五条  专家共识的编号由专家共识代号、社会团体代号、顺序号和年代号构成，格式为：T/CIAPST Consensus XXXX—YYYY。</w:t>
      </w:r>
    </w:p>
    <w:p w14:paraId="24B201F8">
      <w:pPr>
        <w:spacing w:before="360" w:after="240"/>
        <w:jc w:val="center"/>
        <w:rPr>
          <w:lang w:eastAsia="zh-CN"/>
        </w:rPr>
      </w:pPr>
      <w:r>
        <w:rPr>
          <w:rFonts w:ascii="黑体" w:hAnsi="黑体" w:eastAsia="黑体"/>
          <w:b/>
          <w:sz w:val="32"/>
          <w:lang w:eastAsia="zh-CN"/>
        </w:rPr>
        <w:t>第二章  组织机构与职责</w:t>
      </w:r>
    </w:p>
    <w:p w14:paraId="5C023BEB">
      <w:pPr>
        <w:spacing w:after="80" w:line="360" w:lineRule="auto"/>
        <w:ind w:firstLine="420"/>
        <w:rPr>
          <w:lang w:eastAsia="zh-CN"/>
        </w:rPr>
      </w:pPr>
      <w:r>
        <w:rPr>
          <w:rFonts w:ascii="仿宋" w:hAnsi="仿宋" w:eastAsia="仿宋"/>
          <w:sz w:val="30"/>
          <w:lang w:eastAsia="zh-CN"/>
        </w:rPr>
        <w:t>第六条  科促会专家共识工作在标准化工作委员会（以下简称"标委会"）统一管理协调下开展，实行"决策机构—管理协调机构—协作支持机构—组织编制单位—项目工作组"的组织体系。</w:t>
      </w:r>
    </w:p>
    <w:p w14:paraId="5CC18262">
      <w:pPr>
        <w:spacing w:after="80" w:line="360" w:lineRule="auto"/>
        <w:ind w:firstLine="420"/>
        <w:rPr>
          <w:lang w:eastAsia="zh-CN"/>
        </w:rPr>
      </w:pPr>
      <w:r>
        <w:rPr>
          <w:rFonts w:ascii="仿宋" w:hAnsi="仿宋" w:eastAsia="仿宋"/>
          <w:sz w:val="30"/>
          <w:lang w:eastAsia="zh-CN"/>
        </w:rPr>
        <w:t>第七条  科促会常务理事会是专家共识工作的最高决策机构，负责审议批准专家共识工作的发展规划、管理制度和重大事项。标委会定期向常务理事会报告专家共识工作情况。</w:t>
      </w:r>
    </w:p>
    <w:p w14:paraId="06B3C58B">
      <w:pPr>
        <w:spacing w:after="80" w:line="360" w:lineRule="auto"/>
        <w:ind w:firstLine="420"/>
        <w:rPr>
          <w:lang w:eastAsia="zh-CN"/>
        </w:rPr>
      </w:pPr>
      <w:r>
        <w:rPr>
          <w:rFonts w:ascii="仿宋" w:hAnsi="仿宋" w:eastAsia="仿宋"/>
          <w:sz w:val="30"/>
          <w:lang w:eastAsia="zh-CN"/>
        </w:rPr>
        <w:t>第八条  标委会是专家共识工作的统一管理协调机构，在常务理事会领导下，全面负责专家共识工作的统筹规划、组织协调和监督管理，主要职责为：</w:t>
      </w:r>
    </w:p>
    <w:p w14:paraId="39AE141A">
      <w:pPr>
        <w:spacing w:after="40" w:line="360" w:lineRule="auto"/>
        <w:ind w:firstLine="420"/>
        <w:rPr>
          <w:lang w:eastAsia="zh-CN"/>
        </w:rPr>
      </w:pPr>
      <w:r>
        <w:rPr>
          <w:rFonts w:ascii="仿宋" w:hAnsi="仿宋" w:eastAsia="仿宋"/>
          <w:sz w:val="30"/>
          <w:lang w:eastAsia="zh-CN"/>
        </w:rPr>
        <w:t>（一）制定专家共识工作的发展规划、年度计划和管理制度；</w:t>
      </w:r>
    </w:p>
    <w:p w14:paraId="66460288">
      <w:pPr>
        <w:spacing w:after="40" w:line="360" w:lineRule="auto"/>
        <w:ind w:firstLine="420"/>
        <w:rPr>
          <w:lang w:eastAsia="zh-CN"/>
        </w:rPr>
      </w:pPr>
      <w:r>
        <w:rPr>
          <w:rFonts w:ascii="仿宋" w:hAnsi="仿宋" w:eastAsia="仿宋"/>
          <w:sz w:val="30"/>
          <w:lang w:eastAsia="zh-CN"/>
        </w:rPr>
        <w:t>（二）制定专家共识工作的实施细则和技术规范；</w:t>
      </w:r>
    </w:p>
    <w:p w14:paraId="26DC1A7D">
      <w:pPr>
        <w:spacing w:after="40" w:line="360" w:lineRule="auto"/>
        <w:ind w:firstLine="420"/>
        <w:rPr>
          <w:lang w:eastAsia="zh-CN"/>
        </w:rPr>
      </w:pPr>
      <w:r>
        <w:rPr>
          <w:rFonts w:ascii="仿宋" w:hAnsi="仿宋" w:eastAsia="仿宋"/>
          <w:sz w:val="30"/>
          <w:lang w:eastAsia="zh-CN"/>
        </w:rPr>
        <w:t>（三）组织专家共识项目的征集、形式审查和立项论证；</w:t>
      </w:r>
    </w:p>
    <w:p w14:paraId="64F0E348">
      <w:pPr>
        <w:spacing w:after="40" w:line="360" w:lineRule="auto"/>
        <w:ind w:firstLine="420"/>
        <w:rPr>
          <w:lang w:eastAsia="zh-CN"/>
        </w:rPr>
      </w:pPr>
      <w:r>
        <w:rPr>
          <w:rFonts w:ascii="仿宋" w:hAnsi="仿宋" w:eastAsia="仿宋"/>
          <w:sz w:val="30"/>
          <w:lang w:eastAsia="zh-CN"/>
        </w:rPr>
        <w:t>（四）组建和管理专家共识评审专家库；</w:t>
      </w:r>
    </w:p>
    <w:p w14:paraId="084C3201">
      <w:pPr>
        <w:spacing w:after="40" w:line="360" w:lineRule="auto"/>
        <w:ind w:firstLine="420"/>
        <w:rPr>
          <w:lang w:eastAsia="zh-CN"/>
        </w:rPr>
      </w:pPr>
      <w:r>
        <w:rPr>
          <w:rFonts w:ascii="仿宋" w:hAnsi="仿宋" w:eastAsia="仿宋"/>
          <w:sz w:val="30"/>
          <w:lang w:eastAsia="zh-CN"/>
        </w:rPr>
        <w:t>（五）指导和监督项目工作组的编制工作；</w:t>
      </w:r>
    </w:p>
    <w:p w14:paraId="6E26F29A">
      <w:pPr>
        <w:spacing w:after="40" w:line="360" w:lineRule="auto"/>
        <w:ind w:firstLine="420"/>
        <w:rPr>
          <w:lang w:eastAsia="zh-CN"/>
        </w:rPr>
      </w:pPr>
      <w:r>
        <w:rPr>
          <w:rFonts w:ascii="仿宋" w:hAnsi="仿宋" w:eastAsia="仿宋"/>
          <w:sz w:val="30"/>
          <w:lang w:eastAsia="zh-CN"/>
        </w:rPr>
        <w:t>（六）组织专家共识的技术审查和同行评议；</w:t>
      </w:r>
    </w:p>
    <w:p w14:paraId="6735FE85">
      <w:pPr>
        <w:spacing w:after="40" w:line="360" w:lineRule="auto"/>
        <w:ind w:firstLine="420"/>
        <w:rPr>
          <w:lang w:eastAsia="zh-CN"/>
        </w:rPr>
      </w:pPr>
      <w:r>
        <w:rPr>
          <w:rFonts w:ascii="仿宋" w:hAnsi="仿宋" w:eastAsia="仿宋"/>
          <w:sz w:val="30"/>
          <w:lang w:eastAsia="zh-CN"/>
        </w:rPr>
        <w:t>（七）负责专家共识的报批、公示、发布和归档；</w:t>
      </w:r>
    </w:p>
    <w:p w14:paraId="1D7228D5">
      <w:pPr>
        <w:spacing w:after="40" w:line="360" w:lineRule="auto"/>
        <w:ind w:firstLine="420"/>
        <w:rPr>
          <w:lang w:eastAsia="zh-CN"/>
        </w:rPr>
      </w:pPr>
      <w:r>
        <w:rPr>
          <w:rFonts w:ascii="仿宋" w:hAnsi="仿宋" w:eastAsia="仿宋"/>
          <w:sz w:val="30"/>
          <w:lang w:eastAsia="zh-CN"/>
        </w:rPr>
        <w:t>（八）组织专家共识的宣贯、推广和实施效果评估；</w:t>
      </w:r>
    </w:p>
    <w:p w14:paraId="3F95382A">
      <w:pPr>
        <w:spacing w:after="40" w:line="360" w:lineRule="auto"/>
        <w:ind w:firstLine="420"/>
        <w:rPr>
          <w:lang w:eastAsia="zh-CN"/>
        </w:rPr>
      </w:pPr>
      <w:r>
        <w:rPr>
          <w:rFonts w:ascii="仿宋" w:hAnsi="仿宋" w:eastAsia="仿宋"/>
          <w:sz w:val="30"/>
          <w:lang w:eastAsia="zh-CN"/>
        </w:rPr>
        <w:t>（九）受理与专家共识相关的投诉和申诉；</w:t>
      </w:r>
    </w:p>
    <w:p w14:paraId="5A98735B">
      <w:pPr>
        <w:spacing w:after="40" w:line="360" w:lineRule="auto"/>
        <w:ind w:firstLine="420"/>
        <w:rPr>
          <w:lang w:eastAsia="zh-CN"/>
        </w:rPr>
      </w:pPr>
      <w:r>
        <w:rPr>
          <w:rFonts w:ascii="仿宋" w:hAnsi="仿宋" w:eastAsia="仿宋"/>
          <w:sz w:val="30"/>
          <w:lang w:eastAsia="zh-CN"/>
        </w:rPr>
        <w:t>（十）协调专家工作委员会及各分支机构开展相关工作。</w:t>
      </w:r>
    </w:p>
    <w:p w14:paraId="258E4A91">
      <w:pPr>
        <w:spacing w:after="80" w:line="360" w:lineRule="auto"/>
        <w:ind w:firstLine="420"/>
        <w:rPr>
          <w:lang w:eastAsia="zh-CN"/>
        </w:rPr>
      </w:pPr>
      <w:r>
        <w:rPr>
          <w:rFonts w:ascii="仿宋" w:hAnsi="仿宋" w:eastAsia="仿宋"/>
          <w:sz w:val="30"/>
          <w:lang w:eastAsia="zh-CN"/>
        </w:rPr>
        <w:t>第九条  科促会专家工作委员会（以下简称"专家委"）是专家共识工作的协作支持机构，在标委会统一协调下，发挥专家资源优势，为专家共识工作提供智力支持和专业保障，主要职责为：</w:t>
      </w:r>
    </w:p>
    <w:p w14:paraId="5ECF74B7">
      <w:pPr>
        <w:spacing w:after="40" w:line="360" w:lineRule="auto"/>
        <w:ind w:firstLine="420"/>
        <w:rPr>
          <w:lang w:eastAsia="zh-CN"/>
        </w:rPr>
      </w:pPr>
      <w:r>
        <w:rPr>
          <w:rFonts w:ascii="仿宋" w:hAnsi="仿宋" w:eastAsia="仿宋"/>
          <w:sz w:val="30"/>
          <w:lang w:eastAsia="zh-CN"/>
        </w:rPr>
        <w:t>（一）协助标委会组建和管理专家共识评审专家库；</w:t>
      </w:r>
    </w:p>
    <w:p w14:paraId="57BD7ABA">
      <w:pPr>
        <w:spacing w:after="40" w:line="360" w:lineRule="auto"/>
        <w:ind w:firstLine="420"/>
        <w:rPr>
          <w:lang w:eastAsia="zh-CN"/>
        </w:rPr>
      </w:pPr>
      <w:r>
        <w:rPr>
          <w:rFonts w:ascii="仿宋" w:hAnsi="仿宋" w:eastAsia="仿宋"/>
          <w:sz w:val="30"/>
          <w:lang w:eastAsia="zh-CN"/>
        </w:rPr>
        <w:t>（二）为专家共识的立项论证、技术审查、同行评议等环节提供专家选配支持；</w:t>
      </w:r>
    </w:p>
    <w:p w14:paraId="1B1A2124">
      <w:pPr>
        <w:spacing w:after="40" w:line="360" w:lineRule="auto"/>
        <w:ind w:firstLine="420"/>
        <w:rPr>
          <w:lang w:eastAsia="zh-CN"/>
        </w:rPr>
      </w:pPr>
      <w:r>
        <w:rPr>
          <w:rFonts w:ascii="仿宋" w:hAnsi="仿宋" w:eastAsia="仿宋"/>
          <w:sz w:val="30"/>
          <w:lang w:eastAsia="zh-CN"/>
        </w:rPr>
        <w:t>（三）协助开展专家共识相关的学术交流、培训和咨询活动；</w:t>
      </w:r>
    </w:p>
    <w:p w14:paraId="54762750">
      <w:pPr>
        <w:spacing w:after="40" w:line="360" w:lineRule="auto"/>
        <w:ind w:firstLine="420"/>
        <w:rPr>
          <w:lang w:eastAsia="zh-CN"/>
        </w:rPr>
      </w:pPr>
      <w:r>
        <w:rPr>
          <w:rFonts w:ascii="仿宋" w:hAnsi="仿宋" w:eastAsia="仿宋"/>
          <w:sz w:val="30"/>
          <w:lang w:eastAsia="zh-CN"/>
        </w:rPr>
        <w:t>（四）参与专家共识质量评估和专家履职评价工作。</w:t>
      </w:r>
    </w:p>
    <w:p w14:paraId="53CEFB9B">
      <w:pPr>
        <w:spacing w:after="80" w:line="360" w:lineRule="auto"/>
        <w:ind w:firstLine="420"/>
        <w:rPr>
          <w:lang w:eastAsia="zh-CN"/>
        </w:rPr>
      </w:pPr>
      <w:r>
        <w:rPr>
          <w:rFonts w:ascii="仿宋" w:hAnsi="仿宋" w:eastAsia="仿宋"/>
          <w:sz w:val="30"/>
          <w:lang w:eastAsia="zh-CN"/>
        </w:rPr>
        <w:t>第十条  科促会各分支机构（专业委员会、工作委员会等）可作为专家共识项目的提出单位和组织编制单位，在标委会统一管理协调下，开展相关领域专家共识的具体组织工作。分支机构提出的专家共识项目，应经标委会审核同意后方可立项。</w:t>
      </w:r>
    </w:p>
    <w:p w14:paraId="46975774">
      <w:pPr>
        <w:spacing w:after="80" w:line="360" w:lineRule="auto"/>
        <w:ind w:firstLine="420"/>
        <w:rPr>
          <w:lang w:eastAsia="zh-CN"/>
        </w:rPr>
      </w:pPr>
      <w:r>
        <w:rPr>
          <w:rFonts w:ascii="仿宋" w:hAnsi="仿宋" w:eastAsia="仿宋"/>
          <w:sz w:val="30"/>
          <w:lang w:eastAsia="zh-CN"/>
        </w:rPr>
        <w:t>第十一条  每个专家共识项目设立项目工作组，负责共识的具体编制工作。项目工作组实行牵头专家负责制，由牵头专家、核心专家和项目秘书组成，在标委会指导下开展工作：</w:t>
      </w:r>
    </w:p>
    <w:p w14:paraId="3702D76E">
      <w:pPr>
        <w:spacing w:after="40" w:line="360" w:lineRule="auto"/>
        <w:ind w:firstLine="420"/>
        <w:rPr>
          <w:lang w:eastAsia="zh-CN"/>
        </w:rPr>
      </w:pPr>
      <w:r>
        <w:rPr>
          <w:rFonts w:ascii="仿宋" w:hAnsi="仿宋" w:eastAsia="仿宋"/>
          <w:sz w:val="30"/>
          <w:lang w:eastAsia="zh-CN"/>
        </w:rPr>
        <w:t>（一）牵头专家1名，全面负责项目的技术方向和质量把控，组织协调编制工作，审定各阶段成果。牵头专家应具有正高级专业技术职称，在相关领域具有较高学术影响力和号召力，有充足时间和精力投入项目工作，且同时牵头的在研专家共识项目不超过</w:t>
      </w:r>
      <w:r>
        <w:rPr>
          <w:rFonts w:hint="eastAsia" w:ascii="仿宋" w:hAnsi="仿宋" w:eastAsia="仿宋"/>
          <w:sz w:val="30"/>
          <w:lang w:val="en-US" w:eastAsia="zh-CN"/>
        </w:rPr>
        <w:t>5</w:t>
      </w:r>
      <w:r>
        <w:rPr>
          <w:rFonts w:ascii="仿宋" w:hAnsi="仿宋" w:eastAsia="仿宋"/>
          <w:sz w:val="30"/>
          <w:lang w:eastAsia="zh-CN"/>
        </w:rPr>
        <w:t>项。</w:t>
      </w:r>
    </w:p>
    <w:p w14:paraId="030F6C15">
      <w:pPr>
        <w:spacing w:after="40" w:line="360" w:lineRule="auto"/>
        <w:ind w:firstLine="420"/>
        <w:rPr>
          <w:lang w:eastAsia="zh-CN"/>
        </w:rPr>
      </w:pPr>
      <w:r>
        <w:rPr>
          <w:rFonts w:ascii="仿宋" w:hAnsi="仿宋" w:eastAsia="仿宋"/>
          <w:sz w:val="30"/>
          <w:lang w:eastAsia="zh-CN"/>
        </w:rPr>
        <w:t>（二）核心专家组由不少于10名相关领域专家组成，涵盖科研、应用、管理、产业等不同方面，负责共识内容的研究、论证和起草。核心专家应具有副高级及以上专业技术职称或同等专业水平，从事相关领域工作5年以上。</w:t>
      </w:r>
    </w:p>
    <w:p w14:paraId="01B2224C">
      <w:pPr>
        <w:spacing w:after="40" w:line="360" w:lineRule="auto"/>
        <w:ind w:firstLine="420"/>
        <w:rPr>
          <w:lang w:eastAsia="zh-CN"/>
        </w:rPr>
      </w:pPr>
      <w:r>
        <w:rPr>
          <w:rFonts w:ascii="仿宋" w:hAnsi="仿宋" w:eastAsia="仿宋"/>
          <w:sz w:val="30"/>
          <w:lang w:eastAsia="zh-CN"/>
        </w:rPr>
        <w:t>（三）项目秘书1至2名，负责项目的日常联络、资料整理、会议组织、文档管理等事务性工作。</w:t>
      </w:r>
    </w:p>
    <w:p w14:paraId="29DA67B9">
      <w:pPr>
        <w:spacing w:after="80" w:line="360" w:lineRule="auto"/>
        <w:ind w:firstLine="420"/>
        <w:rPr>
          <w:lang w:eastAsia="zh-CN"/>
        </w:rPr>
      </w:pPr>
      <w:r>
        <w:rPr>
          <w:rFonts w:ascii="仿宋" w:hAnsi="仿宋" w:eastAsia="仿宋"/>
          <w:sz w:val="30"/>
          <w:lang w:eastAsia="zh-CN"/>
        </w:rPr>
        <w:t>第十二条  参与专家共识工作的所有专家和工作人员均应签署利益冲突声明和诚信承诺书，严格遵守回避制度。存在以下情形之一的，应当主动申明回避：</w:t>
      </w:r>
    </w:p>
    <w:p w14:paraId="3AC9F1D4">
      <w:pPr>
        <w:spacing w:after="40" w:line="360" w:lineRule="auto"/>
        <w:ind w:firstLine="420"/>
        <w:rPr>
          <w:lang w:eastAsia="zh-CN"/>
        </w:rPr>
      </w:pPr>
      <w:r>
        <w:rPr>
          <w:rFonts w:ascii="仿宋" w:hAnsi="仿宋" w:eastAsia="仿宋"/>
          <w:sz w:val="30"/>
          <w:lang w:eastAsia="zh-CN"/>
        </w:rPr>
        <w:t>（一）是拟评审项目的负责人或参与人员；</w:t>
      </w:r>
    </w:p>
    <w:p w14:paraId="704F2B1A">
      <w:pPr>
        <w:spacing w:after="40" w:line="360" w:lineRule="auto"/>
        <w:ind w:firstLine="420"/>
        <w:rPr>
          <w:lang w:eastAsia="zh-CN"/>
        </w:rPr>
      </w:pPr>
      <w:r>
        <w:rPr>
          <w:rFonts w:ascii="仿宋" w:hAnsi="仿宋" w:eastAsia="仿宋"/>
          <w:sz w:val="30"/>
          <w:lang w:eastAsia="zh-CN"/>
        </w:rPr>
        <w:t>（二）与拟评审项目存在竞争关系；</w:t>
      </w:r>
    </w:p>
    <w:p w14:paraId="28358387">
      <w:pPr>
        <w:spacing w:after="40" w:line="360" w:lineRule="auto"/>
        <w:ind w:firstLine="420"/>
        <w:rPr>
          <w:lang w:eastAsia="zh-CN"/>
        </w:rPr>
      </w:pPr>
      <w:r>
        <w:rPr>
          <w:rFonts w:ascii="仿宋" w:hAnsi="仿宋" w:eastAsia="仿宋"/>
          <w:sz w:val="30"/>
          <w:lang w:eastAsia="zh-CN"/>
        </w:rPr>
        <w:t>（三）与项目负责人有近亲属关系、师生关系或其他重大利益关系；</w:t>
      </w:r>
    </w:p>
    <w:p w14:paraId="280387EB">
      <w:pPr>
        <w:spacing w:after="40" w:line="360" w:lineRule="auto"/>
        <w:ind w:firstLine="420"/>
        <w:rPr>
          <w:lang w:eastAsia="zh-CN"/>
        </w:rPr>
      </w:pPr>
      <w:r>
        <w:rPr>
          <w:rFonts w:ascii="仿宋" w:hAnsi="仿宋" w:eastAsia="仿宋"/>
          <w:sz w:val="30"/>
          <w:lang w:eastAsia="zh-CN"/>
        </w:rPr>
        <w:t>（四）过去2年内与项目负责人有共同承担科研项目、获得科技奖励、发表论文、申请专利等合作关系；</w:t>
      </w:r>
    </w:p>
    <w:p w14:paraId="2A820CDA">
      <w:pPr>
        <w:spacing w:after="40" w:line="360" w:lineRule="auto"/>
        <w:ind w:firstLine="420"/>
        <w:rPr>
          <w:lang w:eastAsia="zh-CN"/>
        </w:rPr>
      </w:pPr>
      <w:r>
        <w:rPr>
          <w:rFonts w:ascii="仿宋" w:hAnsi="仿宋" w:eastAsia="仿宋"/>
          <w:sz w:val="30"/>
          <w:lang w:eastAsia="zh-CN"/>
        </w:rPr>
        <w:t>（五）2年内与项目申报单位有过聘用关系或咨询服务关系；</w:t>
      </w:r>
    </w:p>
    <w:p w14:paraId="5A33CFCD">
      <w:pPr>
        <w:spacing w:after="40" w:line="360" w:lineRule="auto"/>
        <w:ind w:firstLine="420"/>
        <w:rPr>
          <w:lang w:eastAsia="zh-CN"/>
        </w:rPr>
      </w:pPr>
      <w:r>
        <w:rPr>
          <w:rFonts w:ascii="仿宋" w:hAnsi="仿宋" w:eastAsia="仿宋"/>
          <w:sz w:val="30"/>
          <w:lang w:eastAsia="zh-CN"/>
        </w:rPr>
        <w:t>（六）与项目申报单位有经济利害关系；</w:t>
      </w:r>
    </w:p>
    <w:p w14:paraId="10B7C5B1">
      <w:pPr>
        <w:spacing w:after="40" w:line="360" w:lineRule="auto"/>
        <w:ind w:firstLine="420"/>
        <w:rPr>
          <w:lang w:eastAsia="zh-CN"/>
        </w:rPr>
      </w:pPr>
      <w:r>
        <w:rPr>
          <w:rFonts w:ascii="仿宋" w:hAnsi="仿宋" w:eastAsia="仿宋"/>
          <w:sz w:val="30"/>
          <w:lang w:eastAsia="zh-CN"/>
        </w:rPr>
        <w:t>（七）其他可能影响客观公正评审的情形。</w:t>
      </w:r>
    </w:p>
    <w:p w14:paraId="7527BF16">
      <w:pPr>
        <w:spacing w:before="360" w:after="240"/>
        <w:jc w:val="center"/>
        <w:rPr>
          <w:lang w:eastAsia="zh-CN"/>
        </w:rPr>
      </w:pPr>
      <w:r>
        <w:rPr>
          <w:rFonts w:ascii="黑体" w:hAnsi="黑体" w:eastAsia="黑体"/>
          <w:b/>
          <w:sz w:val="32"/>
          <w:lang w:eastAsia="zh-CN"/>
        </w:rPr>
        <w:t>第三章  立  项</w:t>
      </w:r>
    </w:p>
    <w:p w14:paraId="10DA9A25">
      <w:pPr>
        <w:spacing w:after="80" w:line="360" w:lineRule="auto"/>
        <w:ind w:firstLine="420"/>
        <w:rPr>
          <w:lang w:eastAsia="zh-CN"/>
        </w:rPr>
      </w:pPr>
      <w:r>
        <w:rPr>
          <w:rFonts w:ascii="仿宋" w:hAnsi="仿宋" w:eastAsia="仿宋"/>
          <w:sz w:val="30"/>
          <w:lang w:eastAsia="zh-CN"/>
        </w:rPr>
        <w:t>第十三条  专家共识立项采取公开征集与主动提出相结合的方式。标委会定期发布专家共识申报立项通知，面向社会公开征集项目建议。科促会各分支机构、会员单位及其他相关组织均可提出立项申请。</w:t>
      </w:r>
    </w:p>
    <w:p w14:paraId="2D582754">
      <w:pPr>
        <w:spacing w:after="80" w:line="360" w:lineRule="auto"/>
        <w:ind w:firstLine="420"/>
        <w:rPr>
          <w:lang w:eastAsia="zh-CN"/>
        </w:rPr>
      </w:pPr>
      <w:r>
        <w:rPr>
          <w:rFonts w:ascii="仿宋" w:hAnsi="仿宋" w:eastAsia="仿宋"/>
          <w:sz w:val="30"/>
          <w:lang w:eastAsia="zh-CN"/>
        </w:rPr>
        <w:t>第十四条  申请立项的专家共识项目应符合以下条件：</w:t>
      </w:r>
    </w:p>
    <w:p w14:paraId="29E98999">
      <w:pPr>
        <w:spacing w:after="40" w:line="360" w:lineRule="auto"/>
        <w:ind w:firstLine="420"/>
        <w:rPr>
          <w:lang w:eastAsia="zh-CN"/>
        </w:rPr>
      </w:pPr>
      <w:r>
        <w:rPr>
          <w:rFonts w:ascii="仿宋" w:hAnsi="仿宋" w:eastAsia="仿宋"/>
          <w:sz w:val="30"/>
          <w:lang w:eastAsia="zh-CN"/>
        </w:rPr>
        <w:t>（一）符合科促会章程规定的业务范围；</w:t>
      </w:r>
    </w:p>
    <w:p w14:paraId="7F508261">
      <w:pPr>
        <w:spacing w:after="40" w:line="360" w:lineRule="auto"/>
        <w:ind w:firstLine="420"/>
        <w:rPr>
          <w:lang w:eastAsia="zh-CN"/>
        </w:rPr>
      </w:pPr>
      <w:r>
        <w:rPr>
          <w:rFonts w:ascii="仿宋" w:hAnsi="仿宋" w:eastAsia="仿宋"/>
          <w:sz w:val="30"/>
          <w:lang w:eastAsia="zh-CN"/>
        </w:rPr>
        <w:t>（二）聚焦科技创新和产业发展中的重点、难点问题，具有明确的应用场景和现实需求；</w:t>
      </w:r>
    </w:p>
    <w:p w14:paraId="4EA6AE3C">
      <w:pPr>
        <w:spacing w:after="40" w:line="360" w:lineRule="auto"/>
        <w:ind w:firstLine="420"/>
        <w:rPr>
          <w:lang w:eastAsia="zh-CN"/>
        </w:rPr>
      </w:pPr>
      <w:r>
        <w:rPr>
          <w:rFonts w:ascii="仿宋" w:hAnsi="仿宋" w:eastAsia="仿宋"/>
          <w:sz w:val="30"/>
          <w:lang w:eastAsia="zh-CN"/>
        </w:rPr>
        <w:t>（三）与现行国家标准、行业标准、团体标准无交叉重复，能够填补</w:t>
      </w:r>
      <w:r>
        <w:rPr>
          <w:rFonts w:hint="eastAsia" w:ascii="仿宋" w:hAnsi="仿宋" w:eastAsia="仿宋"/>
          <w:sz w:val="30"/>
          <w:lang w:val="en-US" w:eastAsia="zh-CN"/>
        </w:rPr>
        <w:t>行业</w:t>
      </w:r>
      <w:r>
        <w:rPr>
          <w:rFonts w:ascii="仿宋" w:hAnsi="仿宋" w:eastAsia="仿宋"/>
          <w:sz w:val="30"/>
          <w:lang w:eastAsia="zh-CN"/>
        </w:rPr>
        <w:t>空白或为标准制定提供前期基础；</w:t>
      </w:r>
    </w:p>
    <w:p w14:paraId="6B771C52">
      <w:pPr>
        <w:spacing w:after="40" w:line="360" w:lineRule="auto"/>
        <w:ind w:firstLine="420"/>
        <w:rPr>
          <w:lang w:eastAsia="zh-CN"/>
        </w:rPr>
      </w:pPr>
      <w:r>
        <w:rPr>
          <w:rFonts w:ascii="仿宋" w:hAnsi="仿宋" w:eastAsia="仿宋"/>
          <w:sz w:val="30"/>
          <w:lang w:eastAsia="zh-CN"/>
        </w:rPr>
        <w:t>（四）具有一定的科学研究基础和实践经验积累，主要技术内容科学合理，在行业内具有一定认可度；</w:t>
      </w:r>
    </w:p>
    <w:p w14:paraId="53865E8A">
      <w:pPr>
        <w:spacing w:after="40" w:line="360" w:lineRule="auto"/>
        <w:ind w:firstLine="420"/>
        <w:rPr>
          <w:lang w:eastAsia="zh-CN"/>
        </w:rPr>
      </w:pPr>
      <w:r>
        <w:rPr>
          <w:rFonts w:ascii="仿宋" w:hAnsi="仿宋" w:eastAsia="仿宋"/>
          <w:sz w:val="30"/>
          <w:lang w:eastAsia="zh-CN"/>
        </w:rPr>
        <w:t>（五）项目组具备完成编制任务的技术能力和组织能力；</w:t>
      </w:r>
    </w:p>
    <w:p w14:paraId="64E5AB92">
      <w:pPr>
        <w:spacing w:after="40" w:line="360" w:lineRule="auto"/>
        <w:ind w:firstLine="420"/>
        <w:rPr>
          <w:lang w:eastAsia="zh-CN"/>
        </w:rPr>
      </w:pPr>
      <w:r>
        <w:rPr>
          <w:rFonts w:ascii="仿宋" w:hAnsi="仿宋" w:eastAsia="仿宋"/>
          <w:sz w:val="30"/>
          <w:lang w:eastAsia="zh-CN"/>
        </w:rPr>
        <w:t>（六）有必要的工作经费保障和明确的进度安排。</w:t>
      </w:r>
    </w:p>
    <w:p w14:paraId="59F3FF44">
      <w:pPr>
        <w:spacing w:after="80" w:line="360" w:lineRule="auto"/>
        <w:ind w:firstLine="420"/>
        <w:rPr>
          <w:lang w:eastAsia="zh-CN"/>
        </w:rPr>
      </w:pPr>
      <w:r>
        <w:rPr>
          <w:rFonts w:ascii="仿宋" w:hAnsi="仿宋" w:eastAsia="仿宋"/>
          <w:sz w:val="30"/>
          <w:lang w:eastAsia="zh-CN"/>
        </w:rPr>
        <w:t>第十五条  申请立项应提交以下材料：</w:t>
      </w:r>
    </w:p>
    <w:p w14:paraId="0094BDE1">
      <w:pPr>
        <w:spacing w:after="40" w:line="360" w:lineRule="auto"/>
        <w:ind w:firstLine="420"/>
        <w:rPr>
          <w:lang w:eastAsia="zh-CN"/>
        </w:rPr>
      </w:pPr>
      <w:r>
        <w:rPr>
          <w:rFonts w:ascii="仿宋" w:hAnsi="仿宋" w:eastAsia="仿宋"/>
          <w:sz w:val="30"/>
          <w:lang w:eastAsia="zh-CN"/>
        </w:rPr>
        <w:t>（一）《中国国际科技促进会专家共识立项申请书》，内容包括项目名称、提出机构、起草单位、项目负责人及团队信息、项目目的和意义、适用范围和主要技术内容、国内外相关情况说明、前期工作基础、进度计划、经费预算等；</w:t>
      </w:r>
    </w:p>
    <w:p w14:paraId="654522F9">
      <w:pPr>
        <w:spacing w:after="40" w:line="360" w:lineRule="auto"/>
        <w:ind w:firstLine="420"/>
        <w:rPr>
          <w:lang w:eastAsia="zh-CN"/>
        </w:rPr>
      </w:pPr>
      <w:r>
        <w:rPr>
          <w:rFonts w:ascii="仿宋" w:hAnsi="仿宋" w:eastAsia="仿宋"/>
          <w:sz w:val="30"/>
          <w:lang w:eastAsia="zh-CN"/>
        </w:rPr>
        <w:t>（二）专家共识草案初稿；</w:t>
      </w:r>
    </w:p>
    <w:p w14:paraId="285B9A2E">
      <w:pPr>
        <w:spacing w:after="40" w:line="360" w:lineRule="auto"/>
        <w:ind w:firstLine="420"/>
        <w:rPr>
          <w:lang w:eastAsia="zh-CN"/>
        </w:rPr>
      </w:pPr>
      <w:r>
        <w:rPr>
          <w:rFonts w:ascii="仿宋" w:hAnsi="仿宋" w:eastAsia="仿宋"/>
          <w:sz w:val="30"/>
          <w:lang w:eastAsia="zh-CN"/>
        </w:rPr>
        <w:t>（三）必要专利信息披露表（如涉及）；</w:t>
      </w:r>
    </w:p>
    <w:p w14:paraId="5D368EFB">
      <w:pPr>
        <w:spacing w:after="40" w:line="360" w:lineRule="auto"/>
        <w:ind w:firstLine="420"/>
        <w:rPr>
          <w:lang w:eastAsia="zh-CN"/>
        </w:rPr>
      </w:pPr>
      <w:r>
        <w:rPr>
          <w:rFonts w:ascii="仿宋" w:hAnsi="仿宋" w:eastAsia="仿宋"/>
          <w:sz w:val="30"/>
          <w:lang w:eastAsia="zh-CN"/>
        </w:rPr>
        <w:t>（四）其他相关证明材料。</w:t>
      </w:r>
    </w:p>
    <w:p w14:paraId="11181CD6">
      <w:pPr>
        <w:spacing w:after="80" w:line="360" w:lineRule="auto"/>
        <w:ind w:firstLine="420"/>
        <w:rPr>
          <w:lang w:eastAsia="zh-CN"/>
        </w:rPr>
      </w:pPr>
      <w:r>
        <w:rPr>
          <w:rFonts w:ascii="仿宋" w:hAnsi="仿宋" w:eastAsia="仿宋"/>
          <w:sz w:val="30"/>
          <w:lang w:eastAsia="zh-CN"/>
        </w:rPr>
        <w:t>第十六条  立项单位原则上应为科促会会员单位或分支机构，联合立项单位不少于3家，其中第一立项单位为主研单位。起草人不少于10人。</w:t>
      </w:r>
    </w:p>
    <w:p w14:paraId="6516F590">
      <w:pPr>
        <w:spacing w:after="80" w:line="360" w:lineRule="auto"/>
        <w:ind w:firstLine="420"/>
        <w:rPr>
          <w:lang w:eastAsia="zh-CN"/>
        </w:rPr>
      </w:pPr>
      <w:r>
        <w:rPr>
          <w:rFonts w:ascii="仿宋" w:hAnsi="仿宋" w:eastAsia="仿宋"/>
          <w:sz w:val="30"/>
          <w:lang w:eastAsia="zh-CN"/>
        </w:rPr>
        <w:t>第十七条  标委会在收到申请材料后10个工作日内进行形式审查，审查内容包括材料完整性、格式规范性、申报单位和人员资质符合性等。形式审查结果以书面形式反馈申请单位。</w:t>
      </w:r>
    </w:p>
    <w:p w14:paraId="3CD77B84">
      <w:pPr>
        <w:spacing w:after="80" w:line="360" w:lineRule="auto"/>
        <w:ind w:firstLine="420"/>
        <w:rPr>
          <w:lang w:eastAsia="zh-CN"/>
        </w:rPr>
      </w:pPr>
      <w:r>
        <w:rPr>
          <w:rFonts w:ascii="仿宋" w:hAnsi="仿宋" w:eastAsia="仿宋"/>
          <w:sz w:val="30"/>
          <w:lang w:eastAsia="zh-CN"/>
        </w:rPr>
        <w:t>第十八条  申请单位应在收到形式审查意见后10个工作日内完成修改并重新提交。未按期修改或修改后仍不符合要求的，不予进入立项论证环节。</w:t>
      </w:r>
    </w:p>
    <w:p w14:paraId="31AA4781">
      <w:pPr>
        <w:spacing w:after="80" w:line="360" w:lineRule="auto"/>
        <w:ind w:firstLine="420"/>
        <w:rPr>
          <w:lang w:eastAsia="zh-CN"/>
        </w:rPr>
      </w:pPr>
      <w:r>
        <w:rPr>
          <w:rFonts w:ascii="仿宋" w:hAnsi="仿宋" w:eastAsia="仿宋"/>
          <w:sz w:val="30"/>
          <w:lang w:eastAsia="zh-CN"/>
        </w:rPr>
        <w:t>第十九条  通过形式审查的项目，由标委会组织立项论证会。立项论证会原则上每季度召开一次，也可根据项目情况适时组织。</w:t>
      </w:r>
    </w:p>
    <w:p w14:paraId="6C85DD74">
      <w:pPr>
        <w:spacing w:after="80" w:line="360" w:lineRule="auto"/>
        <w:ind w:firstLine="420"/>
        <w:rPr>
          <w:lang w:eastAsia="zh-CN"/>
        </w:rPr>
      </w:pPr>
      <w:r>
        <w:rPr>
          <w:rFonts w:ascii="仿宋" w:hAnsi="仿宋" w:eastAsia="仿宋"/>
          <w:sz w:val="30"/>
          <w:lang w:eastAsia="zh-CN"/>
        </w:rPr>
        <w:t>第二十条  立项论证专家组由不少于7名相关领域专家组成，其中应包括技术专家、管理专家和应用方代表。论证专家从科促会专家库中遴选，项目组成员及其所在单位的专家不得参加本项目的论证。</w:t>
      </w:r>
    </w:p>
    <w:p w14:paraId="668D90D1">
      <w:pPr>
        <w:spacing w:after="80" w:line="360" w:lineRule="auto"/>
        <w:ind w:firstLine="420"/>
        <w:rPr>
          <w:lang w:eastAsia="zh-CN"/>
        </w:rPr>
      </w:pPr>
      <w:r>
        <w:rPr>
          <w:rFonts w:ascii="仿宋" w:hAnsi="仿宋" w:eastAsia="仿宋"/>
          <w:sz w:val="30"/>
          <w:lang w:eastAsia="zh-CN"/>
        </w:rPr>
        <w:t>第二十一条  立项论证采用会议答辩形式，项目牵头专家必须参加并进行立项答辩。论证内容包括：</w:t>
      </w:r>
    </w:p>
    <w:p w14:paraId="5FF98E7F">
      <w:pPr>
        <w:spacing w:after="40" w:line="360" w:lineRule="auto"/>
        <w:ind w:firstLine="420"/>
        <w:rPr>
          <w:lang w:eastAsia="zh-CN"/>
        </w:rPr>
      </w:pPr>
      <w:r>
        <w:rPr>
          <w:rFonts w:ascii="仿宋" w:hAnsi="仿宋" w:eastAsia="仿宋"/>
          <w:sz w:val="30"/>
          <w:lang w:eastAsia="zh-CN"/>
        </w:rPr>
        <w:t>（一）立项的必要性和紧迫性；</w:t>
      </w:r>
    </w:p>
    <w:p w14:paraId="03DC7F8C">
      <w:pPr>
        <w:spacing w:after="40" w:line="360" w:lineRule="auto"/>
        <w:ind w:firstLine="420"/>
        <w:rPr>
          <w:lang w:eastAsia="zh-CN"/>
        </w:rPr>
      </w:pPr>
      <w:r>
        <w:rPr>
          <w:rFonts w:ascii="仿宋" w:hAnsi="仿宋" w:eastAsia="仿宋"/>
          <w:sz w:val="30"/>
          <w:lang w:eastAsia="zh-CN"/>
        </w:rPr>
        <w:t>（二）技术内容的科学性和先进性；</w:t>
      </w:r>
    </w:p>
    <w:p w14:paraId="3D15D66E">
      <w:pPr>
        <w:spacing w:after="40" w:line="360" w:lineRule="auto"/>
        <w:ind w:firstLine="420"/>
        <w:rPr>
          <w:lang w:eastAsia="zh-CN"/>
        </w:rPr>
      </w:pPr>
      <w:r>
        <w:rPr>
          <w:rFonts w:ascii="仿宋" w:hAnsi="仿宋" w:eastAsia="仿宋"/>
          <w:sz w:val="30"/>
          <w:lang w:eastAsia="zh-CN"/>
        </w:rPr>
        <w:t>（三）与现有标准和相关共识的关系；</w:t>
      </w:r>
    </w:p>
    <w:p w14:paraId="09D01920">
      <w:pPr>
        <w:spacing w:after="40" w:line="360" w:lineRule="auto"/>
        <w:ind w:firstLine="420"/>
        <w:rPr>
          <w:lang w:eastAsia="zh-CN"/>
        </w:rPr>
      </w:pPr>
      <w:r>
        <w:rPr>
          <w:rFonts w:ascii="仿宋" w:hAnsi="仿宋" w:eastAsia="仿宋"/>
          <w:sz w:val="30"/>
          <w:lang w:eastAsia="zh-CN"/>
        </w:rPr>
        <w:t>（四）项目组的能力和工作基础；</w:t>
      </w:r>
    </w:p>
    <w:p w14:paraId="0F6087F7">
      <w:pPr>
        <w:spacing w:after="40" w:line="360" w:lineRule="auto"/>
        <w:ind w:firstLine="420"/>
        <w:rPr>
          <w:lang w:eastAsia="zh-CN"/>
        </w:rPr>
      </w:pPr>
      <w:r>
        <w:rPr>
          <w:rFonts w:ascii="仿宋" w:hAnsi="仿宋" w:eastAsia="仿宋"/>
          <w:sz w:val="30"/>
          <w:lang w:eastAsia="zh-CN"/>
        </w:rPr>
        <w:t>（五）进度计划和经费预算的合理性；</w:t>
      </w:r>
    </w:p>
    <w:p w14:paraId="054CD012">
      <w:pPr>
        <w:spacing w:after="40" w:line="360" w:lineRule="auto"/>
        <w:ind w:firstLine="420"/>
        <w:rPr>
          <w:lang w:eastAsia="zh-CN"/>
        </w:rPr>
      </w:pPr>
      <w:r>
        <w:rPr>
          <w:rFonts w:ascii="仿宋" w:hAnsi="仿宋" w:eastAsia="仿宋"/>
          <w:sz w:val="30"/>
          <w:lang w:eastAsia="zh-CN"/>
        </w:rPr>
        <w:t>（六）预期成果和应用前景。</w:t>
      </w:r>
    </w:p>
    <w:p w14:paraId="6ED704FF">
      <w:pPr>
        <w:spacing w:after="80" w:line="360" w:lineRule="auto"/>
        <w:ind w:firstLine="420"/>
        <w:rPr>
          <w:lang w:eastAsia="zh-CN"/>
        </w:rPr>
      </w:pPr>
      <w:r>
        <w:rPr>
          <w:rFonts w:ascii="仿宋" w:hAnsi="仿宋" w:eastAsia="仿宋"/>
          <w:sz w:val="30"/>
          <w:lang w:eastAsia="zh-CN"/>
        </w:rPr>
        <w:t>第二十二条  立项论证采取投票表决方式。必须有不少于出席论证会专家四分之三同意方为通过。项目最多可进行两次论证，两次均不通过的，不予立项。</w:t>
      </w:r>
    </w:p>
    <w:p w14:paraId="49E7AF42">
      <w:pPr>
        <w:spacing w:after="80" w:line="360" w:lineRule="auto"/>
        <w:ind w:firstLine="420"/>
        <w:rPr>
          <w:lang w:eastAsia="zh-CN"/>
        </w:rPr>
      </w:pPr>
      <w:r>
        <w:rPr>
          <w:rFonts w:ascii="仿宋" w:hAnsi="仿宋" w:eastAsia="仿宋"/>
          <w:sz w:val="30"/>
          <w:lang w:eastAsia="zh-CN"/>
        </w:rPr>
        <w:t>第二十三条  通过立项论证的项目，经标委会审核后报科促会秘书长办公会审议。审议通过后，在科促会官网和相关信息平台发布立项公告，公示期为7个工作日。</w:t>
      </w:r>
    </w:p>
    <w:p w14:paraId="583B644C">
      <w:pPr>
        <w:spacing w:after="80" w:line="360" w:lineRule="auto"/>
        <w:ind w:firstLine="420"/>
        <w:rPr>
          <w:lang w:eastAsia="zh-CN"/>
        </w:rPr>
      </w:pPr>
      <w:r>
        <w:rPr>
          <w:rFonts w:ascii="仿宋" w:hAnsi="仿宋" w:eastAsia="仿宋"/>
          <w:sz w:val="30"/>
          <w:lang w:eastAsia="zh-CN"/>
        </w:rPr>
        <w:t>第二十四条  公示期内无异议或异议不成立的，项目正式立项。公示期内有异议的，由标委会组织调查核实并作出处理决定。</w:t>
      </w:r>
    </w:p>
    <w:p w14:paraId="798391F8">
      <w:pPr>
        <w:spacing w:after="80" w:line="360" w:lineRule="auto"/>
        <w:ind w:firstLine="420"/>
        <w:rPr>
          <w:lang w:eastAsia="zh-CN"/>
        </w:rPr>
      </w:pPr>
      <w:r>
        <w:rPr>
          <w:rFonts w:ascii="仿宋" w:hAnsi="仿宋" w:eastAsia="仿宋"/>
          <w:sz w:val="30"/>
          <w:lang w:eastAsia="zh-CN"/>
        </w:rPr>
        <w:t>第二十五条  正式立项后，科促会与主研单位签订专家共识编制合作协议，明确双方权利义务、经费使用、成果归属、保密要求等事项。</w:t>
      </w:r>
    </w:p>
    <w:p w14:paraId="4783D98B">
      <w:pPr>
        <w:spacing w:before="360" w:after="240"/>
        <w:jc w:val="center"/>
        <w:rPr>
          <w:lang w:eastAsia="zh-CN"/>
        </w:rPr>
      </w:pPr>
      <w:r>
        <w:rPr>
          <w:rFonts w:ascii="黑体" w:hAnsi="黑体" w:eastAsia="黑体"/>
          <w:b/>
          <w:sz w:val="32"/>
          <w:lang w:eastAsia="zh-CN"/>
        </w:rPr>
        <w:t>第四章  编  制</w:t>
      </w:r>
    </w:p>
    <w:p w14:paraId="283D8C7A">
      <w:pPr>
        <w:spacing w:after="80" w:line="360" w:lineRule="auto"/>
        <w:ind w:firstLine="420"/>
        <w:rPr>
          <w:lang w:eastAsia="zh-CN"/>
        </w:rPr>
      </w:pPr>
      <w:r>
        <w:rPr>
          <w:rFonts w:ascii="仿宋" w:hAnsi="仿宋" w:eastAsia="仿宋"/>
          <w:sz w:val="30"/>
          <w:lang w:eastAsia="zh-CN"/>
        </w:rPr>
        <w:t>第二十六条  项目工作组应按照立项申请书中的进度计划开展编制工作，并定期向标委会提交阶段性成果。自发布立项公告之日起，专家共识编制周期一般不超过12个月，特殊情况需延期的，应提前向标委会提交延期申请，延期最长不超过6个月。</w:t>
      </w:r>
    </w:p>
    <w:p w14:paraId="5C42FC23">
      <w:pPr>
        <w:spacing w:after="80" w:line="360" w:lineRule="auto"/>
        <w:ind w:firstLine="420"/>
        <w:rPr>
          <w:lang w:eastAsia="zh-CN"/>
        </w:rPr>
      </w:pPr>
      <w:r>
        <w:rPr>
          <w:rFonts w:ascii="仿宋" w:hAnsi="仿宋" w:eastAsia="仿宋"/>
          <w:sz w:val="30"/>
          <w:lang w:eastAsia="zh-CN"/>
        </w:rPr>
        <w:t>第二十七条  专家共识编制应遵循以下技术流程：</w:t>
      </w:r>
    </w:p>
    <w:p w14:paraId="10CFA010">
      <w:pPr>
        <w:spacing w:before="240" w:after="120"/>
        <w:ind w:firstLine="420"/>
        <w:rPr>
          <w:lang w:eastAsia="zh-CN"/>
        </w:rPr>
      </w:pPr>
      <w:r>
        <w:rPr>
          <w:rFonts w:ascii="楷体" w:hAnsi="楷体" w:eastAsia="楷体"/>
          <w:b/>
          <w:sz w:val="30"/>
          <w:lang w:eastAsia="zh-CN"/>
        </w:rPr>
        <w:t>（一）组建工作组与启动会</w:t>
      </w:r>
    </w:p>
    <w:p w14:paraId="083C3505">
      <w:pPr>
        <w:spacing w:after="80" w:line="360" w:lineRule="auto"/>
        <w:ind w:firstLine="420"/>
        <w:rPr>
          <w:lang w:eastAsia="zh-CN"/>
        </w:rPr>
      </w:pPr>
      <w:r>
        <w:rPr>
          <w:rFonts w:ascii="仿宋" w:hAnsi="仿宋" w:eastAsia="仿宋"/>
          <w:sz w:val="30"/>
          <w:lang w:eastAsia="zh-CN"/>
        </w:rPr>
        <w:t>第二十八条  正式立项后1个月内，主研单位应组建项目工作组，明确牵头专家、核心专家和项目秘书，召开项目启动会。启动会应明确共识编制的技术路线、任务分工、时间节点和质量要求。标委会派员参加启动会。</w:t>
      </w:r>
    </w:p>
    <w:p w14:paraId="08CAC4EE">
      <w:pPr>
        <w:spacing w:before="240" w:after="120"/>
        <w:ind w:firstLine="420"/>
        <w:rPr>
          <w:lang w:eastAsia="zh-CN"/>
        </w:rPr>
      </w:pPr>
      <w:r>
        <w:rPr>
          <w:rFonts w:ascii="楷体" w:hAnsi="楷体" w:eastAsia="楷体"/>
          <w:b/>
          <w:sz w:val="30"/>
          <w:lang w:eastAsia="zh-CN"/>
        </w:rPr>
        <w:t>（二）证据系统评价</w:t>
      </w:r>
    </w:p>
    <w:p w14:paraId="65F19635">
      <w:pPr>
        <w:spacing w:after="80" w:line="360" w:lineRule="auto"/>
        <w:ind w:firstLine="420"/>
        <w:rPr>
          <w:lang w:eastAsia="zh-CN"/>
        </w:rPr>
      </w:pPr>
      <w:r>
        <w:rPr>
          <w:rFonts w:ascii="仿宋" w:hAnsi="仿宋" w:eastAsia="仿宋"/>
          <w:sz w:val="30"/>
          <w:lang w:eastAsia="zh-CN"/>
        </w:rPr>
        <w:t>第二十九条  项目工作组应对共识涉及的技术问题开展系统的文献检索和证据评价。证据检索应覆盖国内外相关学术文献、标准法规、行业报告、专利信息等。证据评价应采用国际通用的证据分级方法（如GRADE体系），对证据质量进行分级评定。</w:t>
      </w:r>
    </w:p>
    <w:p w14:paraId="001C4E7E">
      <w:pPr>
        <w:spacing w:after="80" w:line="360" w:lineRule="auto"/>
        <w:ind w:firstLine="420"/>
        <w:rPr>
          <w:lang w:eastAsia="zh-CN"/>
        </w:rPr>
      </w:pPr>
      <w:r>
        <w:rPr>
          <w:rFonts w:ascii="仿宋" w:hAnsi="仿宋" w:eastAsia="仿宋"/>
          <w:sz w:val="30"/>
          <w:lang w:eastAsia="zh-CN"/>
        </w:rPr>
        <w:t>第三十条  项目工作组应编制证据评价报告，作为共识编制的技术依据。证据评价报告应包括检索策略、纳入排除标准、证据汇总、质量评价、证据缺口分析等内容。</w:t>
      </w:r>
    </w:p>
    <w:p w14:paraId="58FBE614">
      <w:pPr>
        <w:spacing w:before="240" w:after="120"/>
        <w:ind w:firstLine="420"/>
        <w:rPr>
          <w:lang w:eastAsia="zh-CN"/>
        </w:rPr>
      </w:pPr>
      <w:r>
        <w:rPr>
          <w:rFonts w:ascii="楷体" w:hAnsi="楷体" w:eastAsia="楷体"/>
          <w:b/>
          <w:sz w:val="30"/>
          <w:lang w:eastAsia="zh-CN"/>
        </w:rPr>
        <w:t>（三）共识草案起草</w:t>
      </w:r>
    </w:p>
    <w:p w14:paraId="52B670D9">
      <w:pPr>
        <w:spacing w:after="80" w:line="360" w:lineRule="auto"/>
        <w:ind w:firstLine="420"/>
        <w:rPr>
          <w:lang w:eastAsia="zh-CN"/>
        </w:rPr>
      </w:pPr>
      <w:r>
        <w:rPr>
          <w:rFonts w:ascii="仿宋" w:hAnsi="仿宋" w:eastAsia="仿宋"/>
          <w:sz w:val="30"/>
          <w:lang w:eastAsia="zh-CN"/>
        </w:rPr>
        <w:t>第三十一条  项目工作组在证据系统评价的基础上，结合专家实践经验，起草专家共识草案。共识草案应包括以下内容：</w:t>
      </w:r>
    </w:p>
    <w:p w14:paraId="3C14060E">
      <w:pPr>
        <w:spacing w:after="40" w:line="360" w:lineRule="auto"/>
        <w:ind w:firstLine="420"/>
        <w:rPr>
          <w:lang w:eastAsia="zh-CN"/>
        </w:rPr>
      </w:pPr>
      <w:r>
        <w:rPr>
          <w:rFonts w:ascii="仿宋" w:hAnsi="仿宋" w:eastAsia="仿宋"/>
          <w:sz w:val="30"/>
          <w:lang w:eastAsia="zh-CN"/>
        </w:rPr>
        <w:t>（一）前言（编制背景、目的、意义、适用范围）；</w:t>
      </w:r>
    </w:p>
    <w:p w14:paraId="67391D07">
      <w:pPr>
        <w:spacing w:after="40" w:line="360" w:lineRule="auto"/>
        <w:ind w:firstLine="420"/>
        <w:rPr>
          <w:lang w:eastAsia="zh-CN"/>
        </w:rPr>
      </w:pPr>
      <w:r>
        <w:rPr>
          <w:rFonts w:ascii="仿宋" w:hAnsi="仿宋" w:eastAsia="仿宋"/>
          <w:sz w:val="30"/>
          <w:lang w:eastAsia="zh-CN"/>
        </w:rPr>
        <w:t>（二）术语和定义（如需要）；</w:t>
      </w:r>
    </w:p>
    <w:p w14:paraId="151B7C7F">
      <w:pPr>
        <w:spacing w:after="40" w:line="360" w:lineRule="auto"/>
        <w:ind w:firstLine="420"/>
        <w:rPr>
          <w:lang w:eastAsia="zh-CN"/>
        </w:rPr>
      </w:pPr>
      <w:r>
        <w:rPr>
          <w:rFonts w:ascii="仿宋" w:hAnsi="仿宋" w:eastAsia="仿宋"/>
          <w:sz w:val="30"/>
          <w:lang w:eastAsia="zh-CN"/>
        </w:rPr>
        <w:t>（三）共识正文（按技术内容分章节阐述）；</w:t>
      </w:r>
    </w:p>
    <w:p w14:paraId="5A83DDA4">
      <w:pPr>
        <w:spacing w:after="40" w:line="360" w:lineRule="auto"/>
        <w:ind w:firstLine="420"/>
        <w:rPr>
          <w:lang w:eastAsia="zh-CN"/>
        </w:rPr>
      </w:pPr>
      <w:r>
        <w:rPr>
          <w:rFonts w:ascii="仿宋" w:hAnsi="仿宋" w:eastAsia="仿宋"/>
          <w:sz w:val="30"/>
          <w:lang w:eastAsia="zh-CN"/>
        </w:rPr>
        <w:t>（四）推荐意见及证据等级；</w:t>
      </w:r>
    </w:p>
    <w:p w14:paraId="0FDABDB0">
      <w:pPr>
        <w:spacing w:after="40" w:line="360" w:lineRule="auto"/>
        <w:ind w:firstLine="420"/>
        <w:rPr>
          <w:lang w:eastAsia="zh-CN"/>
        </w:rPr>
      </w:pPr>
      <w:r>
        <w:rPr>
          <w:rFonts w:ascii="仿宋" w:hAnsi="仿宋" w:eastAsia="仿宋"/>
          <w:sz w:val="30"/>
          <w:lang w:eastAsia="zh-CN"/>
        </w:rPr>
        <w:t>（五）利益冲突声明；</w:t>
      </w:r>
    </w:p>
    <w:p w14:paraId="55ABCBFF">
      <w:pPr>
        <w:spacing w:after="40" w:line="360" w:lineRule="auto"/>
        <w:ind w:firstLine="420"/>
        <w:rPr>
          <w:lang w:eastAsia="zh-CN"/>
        </w:rPr>
      </w:pPr>
      <w:r>
        <w:rPr>
          <w:rFonts w:ascii="仿宋" w:hAnsi="仿宋" w:eastAsia="仿宋"/>
          <w:sz w:val="30"/>
          <w:lang w:eastAsia="zh-CN"/>
        </w:rPr>
        <w:t>（六）参考文献。</w:t>
      </w:r>
    </w:p>
    <w:p w14:paraId="3ABDE548">
      <w:pPr>
        <w:spacing w:before="240" w:after="120"/>
        <w:ind w:firstLine="420"/>
        <w:rPr>
          <w:lang w:eastAsia="zh-CN"/>
        </w:rPr>
      </w:pPr>
      <w:r>
        <w:rPr>
          <w:rFonts w:ascii="楷体" w:hAnsi="楷体" w:eastAsia="楷体"/>
          <w:b/>
          <w:sz w:val="30"/>
          <w:lang w:eastAsia="zh-CN"/>
        </w:rPr>
        <w:t>（四）德尔菲函询</w:t>
      </w:r>
    </w:p>
    <w:p w14:paraId="2211C75C">
      <w:pPr>
        <w:spacing w:after="80" w:line="360" w:lineRule="auto"/>
        <w:ind w:firstLine="420"/>
        <w:rPr>
          <w:lang w:eastAsia="zh-CN"/>
        </w:rPr>
      </w:pPr>
      <w:r>
        <w:rPr>
          <w:rFonts w:ascii="仿宋" w:hAnsi="仿宋" w:eastAsia="仿宋"/>
          <w:sz w:val="30"/>
          <w:lang w:eastAsia="zh-CN"/>
        </w:rPr>
        <w:t>第三十二条  共识草案形成后，应采用德尔菲法进行至少两轮专家函询。函询专家应从科促会专家库中遴选，人数不少于15人，涵盖相关领域的不同学术观点和应用场景。</w:t>
      </w:r>
    </w:p>
    <w:p w14:paraId="1F19E3D9">
      <w:pPr>
        <w:spacing w:after="80" w:line="360" w:lineRule="auto"/>
        <w:ind w:firstLine="420"/>
        <w:rPr>
          <w:lang w:eastAsia="zh-CN"/>
        </w:rPr>
      </w:pPr>
      <w:r>
        <w:rPr>
          <w:rFonts w:ascii="仿宋" w:hAnsi="仿宋" w:eastAsia="仿宋"/>
          <w:sz w:val="30"/>
          <w:lang w:eastAsia="zh-CN"/>
        </w:rPr>
        <w:t>第三十三条  每轮函询后，项目工作组应对专家意见进行汇总分析，计算各项意见的同意率、变异系数等指标，修改完善共识草案。对存在较大分歧的条款，应在第二轮函询中重点说明并再次征求意见。</w:t>
      </w:r>
    </w:p>
    <w:p w14:paraId="3F46C3FD">
      <w:pPr>
        <w:spacing w:before="240" w:after="120"/>
        <w:ind w:firstLine="420"/>
        <w:rPr>
          <w:lang w:eastAsia="zh-CN"/>
        </w:rPr>
      </w:pPr>
      <w:r>
        <w:rPr>
          <w:rFonts w:ascii="楷体" w:hAnsi="楷体" w:eastAsia="楷体"/>
          <w:b/>
          <w:sz w:val="30"/>
          <w:lang w:eastAsia="zh-CN"/>
        </w:rPr>
        <w:t>（五）征求意见</w:t>
      </w:r>
    </w:p>
    <w:p w14:paraId="18D997AE">
      <w:pPr>
        <w:spacing w:after="80" w:line="360" w:lineRule="auto"/>
        <w:ind w:firstLine="420"/>
        <w:rPr>
          <w:lang w:eastAsia="zh-CN"/>
        </w:rPr>
      </w:pPr>
      <w:r>
        <w:rPr>
          <w:rFonts w:ascii="仿宋" w:hAnsi="仿宋" w:eastAsia="仿宋"/>
          <w:sz w:val="30"/>
          <w:lang w:eastAsia="zh-CN"/>
        </w:rPr>
        <w:t>第三十四条  经德尔菲函询形成的共识征求意见稿，由标委会在科促会官网和相关信息平台公开征求意见，征求意见期限不少于30日。</w:t>
      </w:r>
    </w:p>
    <w:p w14:paraId="6E9CAEB9">
      <w:pPr>
        <w:spacing w:after="80" w:line="360" w:lineRule="auto"/>
        <w:ind w:firstLine="420"/>
        <w:rPr>
          <w:lang w:eastAsia="zh-CN"/>
        </w:rPr>
      </w:pPr>
      <w:r>
        <w:rPr>
          <w:rFonts w:ascii="仿宋" w:hAnsi="仿宋" w:eastAsia="仿宋"/>
          <w:sz w:val="30"/>
          <w:lang w:eastAsia="zh-CN"/>
        </w:rPr>
        <w:t>第三十五条  项目工作组应对征集到的意见进行逐条分析处理，填写《征求意见汇总处理表》，对采纳的意见修改共识文本，对未采纳的意见说明理由。</w:t>
      </w:r>
    </w:p>
    <w:p w14:paraId="0BE7D81C">
      <w:pPr>
        <w:spacing w:before="240" w:after="120"/>
        <w:ind w:firstLine="420"/>
        <w:rPr>
          <w:lang w:eastAsia="zh-CN"/>
        </w:rPr>
      </w:pPr>
      <w:r>
        <w:rPr>
          <w:rFonts w:ascii="楷体" w:hAnsi="楷体" w:eastAsia="楷体"/>
          <w:b/>
          <w:sz w:val="30"/>
          <w:lang w:eastAsia="zh-CN"/>
        </w:rPr>
        <w:t>（六）形成送审稿</w:t>
      </w:r>
    </w:p>
    <w:p w14:paraId="585A6909">
      <w:pPr>
        <w:spacing w:after="80" w:line="360" w:lineRule="auto"/>
        <w:ind w:firstLine="420"/>
        <w:rPr>
          <w:lang w:eastAsia="zh-CN"/>
        </w:rPr>
      </w:pPr>
      <w:r>
        <w:rPr>
          <w:rFonts w:ascii="仿宋" w:hAnsi="仿宋" w:eastAsia="仿宋"/>
          <w:sz w:val="30"/>
          <w:lang w:eastAsia="zh-CN"/>
        </w:rPr>
        <w:t>第三十六条  项目工作组根据征求意见处理情况，修改完善形成专家共识送审稿，并同步编制编制说明。编制说明应包括项目背景、编制过程、主要技术内容确定依据、征求意见处理情况、重大分歧意见的处理结果等。</w:t>
      </w:r>
    </w:p>
    <w:p w14:paraId="1F7C6752">
      <w:pPr>
        <w:spacing w:before="360" w:after="240"/>
        <w:jc w:val="center"/>
        <w:rPr>
          <w:lang w:eastAsia="zh-CN"/>
        </w:rPr>
      </w:pPr>
      <w:r>
        <w:rPr>
          <w:rFonts w:ascii="黑体" w:hAnsi="黑体" w:eastAsia="黑体"/>
          <w:b/>
          <w:sz w:val="32"/>
          <w:lang w:eastAsia="zh-CN"/>
        </w:rPr>
        <w:t>第五章  审  查</w:t>
      </w:r>
    </w:p>
    <w:p w14:paraId="02948198">
      <w:pPr>
        <w:spacing w:after="80" w:line="360" w:lineRule="auto"/>
        <w:ind w:firstLine="420"/>
        <w:rPr>
          <w:lang w:eastAsia="zh-CN"/>
        </w:rPr>
      </w:pPr>
      <w:r>
        <w:rPr>
          <w:rFonts w:ascii="仿宋" w:hAnsi="仿宋" w:eastAsia="仿宋"/>
          <w:sz w:val="30"/>
          <w:lang w:eastAsia="zh-CN"/>
        </w:rPr>
        <w:t>第三十七条  项目工作组完成送审稿后，应向标委会提交以下审查材料：</w:t>
      </w:r>
    </w:p>
    <w:p w14:paraId="163C5EAA">
      <w:pPr>
        <w:spacing w:after="40" w:line="360" w:lineRule="auto"/>
        <w:ind w:firstLine="420"/>
        <w:rPr>
          <w:lang w:eastAsia="zh-CN"/>
        </w:rPr>
      </w:pPr>
      <w:r>
        <w:rPr>
          <w:rFonts w:ascii="仿宋" w:hAnsi="仿宋" w:eastAsia="仿宋"/>
          <w:sz w:val="30"/>
          <w:lang w:eastAsia="zh-CN"/>
        </w:rPr>
        <w:t>（一）专家共识送审稿；</w:t>
      </w:r>
    </w:p>
    <w:p w14:paraId="25086D50">
      <w:pPr>
        <w:spacing w:after="40" w:line="360" w:lineRule="auto"/>
        <w:ind w:firstLine="420"/>
        <w:rPr>
          <w:lang w:eastAsia="zh-CN"/>
        </w:rPr>
      </w:pPr>
      <w:r>
        <w:rPr>
          <w:rFonts w:ascii="仿宋" w:hAnsi="仿宋" w:eastAsia="仿宋"/>
          <w:sz w:val="30"/>
          <w:lang w:eastAsia="zh-CN"/>
        </w:rPr>
        <w:t>（二）编制说明；</w:t>
      </w:r>
    </w:p>
    <w:p w14:paraId="4F566077">
      <w:pPr>
        <w:spacing w:after="40" w:line="360" w:lineRule="auto"/>
        <w:ind w:firstLine="420"/>
        <w:rPr>
          <w:lang w:eastAsia="zh-CN"/>
        </w:rPr>
      </w:pPr>
      <w:r>
        <w:rPr>
          <w:rFonts w:ascii="仿宋" w:hAnsi="仿宋" w:eastAsia="仿宋"/>
          <w:sz w:val="30"/>
          <w:lang w:eastAsia="zh-CN"/>
        </w:rPr>
        <w:t>（三）证据评价报告；</w:t>
      </w:r>
    </w:p>
    <w:p w14:paraId="3FBF9D3B">
      <w:pPr>
        <w:spacing w:after="40" w:line="360" w:lineRule="auto"/>
        <w:ind w:firstLine="420"/>
        <w:rPr>
          <w:lang w:eastAsia="zh-CN"/>
        </w:rPr>
      </w:pPr>
      <w:r>
        <w:rPr>
          <w:rFonts w:ascii="仿宋" w:hAnsi="仿宋" w:eastAsia="仿宋"/>
          <w:sz w:val="30"/>
          <w:lang w:eastAsia="zh-CN"/>
        </w:rPr>
        <w:t>（四）德尔菲函询汇总报告；</w:t>
      </w:r>
    </w:p>
    <w:p w14:paraId="34FFBEC5">
      <w:pPr>
        <w:spacing w:after="40" w:line="360" w:lineRule="auto"/>
        <w:ind w:firstLine="420"/>
        <w:rPr>
          <w:lang w:eastAsia="zh-CN"/>
        </w:rPr>
      </w:pPr>
      <w:r>
        <w:rPr>
          <w:rFonts w:ascii="仿宋" w:hAnsi="仿宋" w:eastAsia="仿宋"/>
          <w:sz w:val="30"/>
          <w:lang w:eastAsia="zh-CN"/>
        </w:rPr>
        <w:t>（五）征求意见汇总处理表；</w:t>
      </w:r>
    </w:p>
    <w:p w14:paraId="52465957">
      <w:pPr>
        <w:spacing w:after="40" w:line="360" w:lineRule="auto"/>
        <w:ind w:firstLine="420"/>
        <w:rPr>
          <w:lang w:eastAsia="zh-CN"/>
        </w:rPr>
      </w:pPr>
      <w:r>
        <w:rPr>
          <w:rFonts w:ascii="仿宋" w:hAnsi="仿宋" w:eastAsia="仿宋"/>
          <w:sz w:val="30"/>
          <w:lang w:eastAsia="zh-CN"/>
        </w:rPr>
        <w:t>（六）利益冲突声明汇总。</w:t>
      </w:r>
    </w:p>
    <w:p w14:paraId="6FDE4D46">
      <w:pPr>
        <w:spacing w:after="80" w:line="360" w:lineRule="auto"/>
        <w:ind w:firstLine="420"/>
        <w:rPr>
          <w:lang w:eastAsia="zh-CN"/>
        </w:rPr>
      </w:pPr>
      <w:r>
        <w:rPr>
          <w:rFonts w:ascii="仿宋" w:hAnsi="仿宋" w:eastAsia="仿宋"/>
          <w:sz w:val="30"/>
          <w:lang w:eastAsia="zh-CN"/>
        </w:rPr>
        <w:t>第三十八条  标委会在收到审查材料后10个工作日内进行形式审查，重点审查材料完整性、编制程序合规性、文档格式规范性等。形式审查意见反馈项目工作组后，项目工作组应在10个工作日内完成修改。</w:t>
      </w:r>
    </w:p>
    <w:p w14:paraId="3E475B22">
      <w:pPr>
        <w:spacing w:after="80" w:line="360" w:lineRule="auto"/>
        <w:ind w:firstLine="420"/>
        <w:rPr>
          <w:lang w:eastAsia="zh-CN"/>
        </w:rPr>
      </w:pPr>
      <w:r>
        <w:rPr>
          <w:rFonts w:ascii="仿宋" w:hAnsi="仿宋" w:eastAsia="仿宋"/>
          <w:sz w:val="30"/>
          <w:lang w:eastAsia="zh-CN"/>
        </w:rPr>
        <w:t>第三十九条  通过形式审查的项目，由标委会组织技术审查会。技术审查采用会议评审形式，项目牵头专家必须参加并进行审查答辩。</w:t>
      </w:r>
    </w:p>
    <w:p w14:paraId="528005FC">
      <w:pPr>
        <w:spacing w:after="80" w:line="360" w:lineRule="auto"/>
        <w:ind w:firstLine="420"/>
        <w:rPr>
          <w:lang w:eastAsia="zh-CN"/>
        </w:rPr>
      </w:pPr>
      <w:r>
        <w:rPr>
          <w:rFonts w:ascii="仿宋" w:hAnsi="仿宋" w:eastAsia="仿宋"/>
          <w:sz w:val="30"/>
          <w:lang w:eastAsia="zh-CN"/>
        </w:rPr>
        <w:t>第四十条  技术审查专家组由不少于9名相关领域专家组成，其中应包括技术专家、标准化专家和应用方代表。审查专家从科促会专家库中随机遴选，项目组成员及其所在单位的专家不得参加本项目的审查。</w:t>
      </w:r>
    </w:p>
    <w:p w14:paraId="14727E33">
      <w:pPr>
        <w:spacing w:after="80" w:line="360" w:lineRule="auto"/>
        <w:ind w:firstLine="420"/>
        <w:rPr>
          <w:lang w:eastAsia="zh-CN"/>
        </w:rPr>
      </w:pPr>
      <w:r>
        <w:rPr>
          <w:rFonts w:ascii="仿宋" w:hAnsi="仿宋" w:eastAsia="仿宋"/>
          <w:sz w:val="30"/>
          <w:lang w:eastAsia="zh-CN"/>
        </w:rPr>
        <w:t>第四十一条  技术审查内容包括：</w:t>
      </w:r>
    </w:p>
    <w:p w14:paraId="0760225A">
      <w:pPr>
        <w:spacing w:after="40" w:line="360" w:lineRule="auto"/>
        <w:ind w:firstLine="420"/>
        <w:rPr>
          <w:lang w:eastAsia="zh-CN"/>
        </w:rPr>
      </w:pPr>
      <w:r>
        <w:rPr>
          <w:rFonts w:ascii="仿宋" w:hAnsi="仿宋" w:eastAsia="仿宋"/>
          <w:sz w:val="30"/>
          <w:lang w:eastAsia="zh-CN"/>
        </w:rPr>
        <w:t>（一）共识内容的科学性、准确性和完整性；</w:t>
      </w:r>
    </w:p>
    <w:p w14:paraId="0E12968A">
      <w:pPr>
        <w:spacing w:after="40" w:line="360" w:lineRule="auto"/>
        <w:ind w:firstLine="420"/>
        <w:rPr>
          <w:lang w:eastAsia="zh-CN"/>
        </w:rPr>
      </w:pPr>
      <w:r>
        <w:rPr>
          <w:rFonts w:ascii="仿宋" w:hAnsi="仿宋" w:eastAsia="仿宋"/>
          <w:sz w:val="30"/>
          <w:lang w:eastAsia="zh-CN"/>
        </w:rPr>
        <w:t>（二）编制程序的合规性；</w:t>
      </w:r>
    </w:p>
    <w:p w14:paraId="7A25D650">
      <w:pPr>
        <w:spacing w:after="40" w:line="360" w:lineRule="auto"/>
        <w:ind w:firstLine="420"/>
        <w:rPr>
          <w:lang w:eastAsia="zh-CN"/>
        </w:rPr>
      </w:pPr>
      <w:r>
        <w:rPr>
          <w:rFonts w:ascii="仿宋" w:hAnsi="仿宋" w:eastAsia="仿宋"/>
          <w:sz w:val="30"/>
          <w:lang w:eastAsia="zh-CN"/>
        </w:rPr>
        <w:t>（三）证据支撑的充分性和推荐意见的合理性；</w:t>
      </w:r>
    </w:p>
    <w:p w14:paraId="189BC562">
      <w:pPr>
        <w:spacing w:after="40" w:line="360" w:lineRule="auto"/>
        <w:ind w:firstLine="420"/>
        <w:rPr>
          <w:lang w:eastAsia="zh-CN"/>
        </w:rPr>
      </w:pPr>
      <w:r>
        <w:rPr>
          <w:rFonts w:ascii="仿宋" w:hAnsi="仿宋" w:eastAsia="仿宋"/>
          <w:sz w:val="30"/>
          <w:lang w:eastAsia="zh-CN"/>
        </w:rPr>
        <w:t>（四）与现行法律法规、标准规范的协调性；</w:t>
      </w:r>
    </w:p>
    <w:p w14:paraId="2AF00011">
      <w:pPr>
        <w:spacing w:after="40" w:line="360" w:lineRule="auto"/>
        <w:ind w:firstLine="420"/>
        <w:rPr>
          <w:lang w:eastAsia="zh-CN"/>
        </w:rPr>
      </w:pPr>
      <w:r>
        <w:rPr>
          <w:rFonts w:ascii="仿宋" w:hAnsi="仿宋" w:eastAsia="仿宋"/>
          <w:sz w:val="30"/>
          <w:lang w:eastAsia="zh-CN"/>
        </w:rPr>
        <w:t>（五）共识的可操作性和推广应用价值；</w:t>
      </w:r>
    </w:p>
    <w:p w14:paraId="543F603F">
      <w:pPr>
        <w:spacing w:after="40" w:line="360" w:lineRule="auto"/>
        <w:ind w:firstLine="420"/>
        <w:rPr>
          <w:lang w:eastAsia="zh-CN"/>
        </w:rPr>
      </w:pPr>
      <w:r>
        <w:rPr>
          <w:rFonts w:ascii="仿宋" w:hAnsi="仿宋" w:eastAsia="仿宋"/>
          <w:sz w:val="30"/>
          <w:lang w:eastAsia="zh-CN"/>
        </w:rPr>
        <w:t>（六）知识产权和利益冲突处理情况。</w:t>
      </w:r>
    </w:p>
    <w:p w14:paraId="1E5C2316">
      <w:pPr>
        <w:spacing w:after="80" w:line="360" w:lineRule="auto"/>
        <w:ind w:firstLine="420"/>
        <w:rPr>
          <w:lang w:eastAsia="zh-CN"/>
        </w:rPr>
      </w:pPr>
      <w:r>
        <w:rPr>
          <w:rFonts w:ascii="仿宋" w:hAnsi="仿宋" w:eastAsia="仿宋"/>
          <w:sz w:val="30"/>
          <w:lang w:eastAsia="zh-CN"/>
        </w:rPr>
        <w:t>第四十二条  技术审查采取投票表决方式。必须有不少于出席审查会专家四分之三同意方为通过。项目最多可进行两次审查，两次均不通过的，撤销项目。</w:t>
      </w:r>
    </w:p>
    <w:p w14:paraId="4FBAC06F">
      <w:pPr>
        <w:spacing w:after="80" w:line="360" w:lineRule="auto"/>
        <w:ind w:firstLine="420"/>
        <w:rPr>
          <w:lang w:eastAsia="zh-CN"/>
        </w:rPr>
      </w:pPr>
      <w:r>
        <w:rPr>
          <w:rFonts w:ascii="仿宋" w:hAnsi="仿宋" w:eastAsia="仿宋"/>
          <w:sz w:val="30"/>
          <w:lang w:eastAsia="zh-CN"/>
        </w:rPr>
        <w:t>第四十三条  对技术审查中提出的意见，项目工作组应在两周内完成修改，形成专家共识报批稿和修改说明，提交标委会。</w:t>
      </w:r>
    </w:p>
    <w:p w14:paraId="4A753A11">
      <w:pPr>
        <w:spacing w:after="80" w:line="360" w:lineRule="auto"/>
        <w:ind w:firstLine="420"/>
        <w:rPr>
          <w:lang w:eastAsia="zh-CN"/>
        </w:rPr>
      </w:pPr>
      <w:r>
        <w:rPr>
          <w:rFonts w:ascii="仿宋" w:hAnsi="仿宋" w:eastAsia="仿宋"/>
          <w:sz w:val="30"/>
          <w:lang w:eastAsia="zh-CN"/>
        </w:rPr>
        <w:t>第四十四条  对于技术内容复杂、社会影响较大的专家共识，标委会可在技术审查前组织外部同行评议，邀请3至5名非项目组的同行专家对送审稿进行独立评议，评议意见作为技术审查的参考。</w:t>
      </w:r>
    </w:p>
    <w:p w14:paraId="0E416C8E">
      <w:pPr>
        <w:spacing w:before="360" w:after="240"/>
        <w:jc w:val="center"/>
        <w:rPr>
          <w:lang w:eastAsia="zh-CN"/>
        </w:rPr>
      </w:pPr>
      <w:r>
        <w:rPr>
          <w:rFonts w:ascii="黑体" w:hAnsi="黑体" w:eastAsia="黑体"/>
          <w:b/>
          <w:sz w:val="32"/>
          <w:lang w:eastAsia="zh-CN"/>
        </w:rPr>
        <w:t>第六章  审批与发布</w:t>
      </w:r>
    </w:p>
    <w:p w14:paraId="7EEE36E9">
      <w:pPr>
        <w:spacing w:after="80" w:line="360" w:lineRule="auto"/>
        <w:ind w:firstLine="420"/>
        <w:rPr>
          <w:lang w:eastAsia="zh-CN"/>
        </w:rPr>
      </w:pPr>
      <w:r>
        <w:rPr>
          <w:rFonts w:ascii="仿宋" w:hAnsi="仿宋" w:eastAsia="仿宋"/>
          <w:sz w:val="30"/>
          <w:lang w:eastAsia="zh-CN"/>
        </w:rPr>
        <w:t>第四十五条  标委会对报批材料进行审核，审核通过后，将专家共识报批稿在科促会官网和相关信息平台进行公示，公示期为15个工作日。</w:t>
      </w:r>
    </w:p>
    <w:p w14:paraId="13BD72BF">
      <w:pPr>
        <w:spacing w:after="80" w:line="360" w:lineRule="auto"/>
        <w:ind w:firstLine="420"/>
        <w:rPr>
          <w:lang w:eastAsia="zh-CN"/>
        </w:rPr>
      </w:pPr>
      <w:r>
        <w:rPr>
          <w:rFonts w:ascii="仿宋" w:hAnsi="仿宋" w:eastAsia="仿宋"/>
          <w:sz w:val="30"/>
          <w:lang w:eastAsia="zh-CN"/>
        </w:rPr>
        <w:t>第四十六条  公示期间，任何单位和个人均可对公示的专家共识提出意见。标委会负责收集和整理公示意见，转交项目工作组处理。项目工作组应在公示期满后10个工作日内提交公示意见处理报告。</w:t>
      </w:r>
    </w:p>
    <w:p w14:paraId="65E7C4A7">
      <w:pPr>
        <w:spacing w:after="80" w:line="360" w:lineRule="auto"/>
        <w:ind w:firstLine="420"/>
        <w:rPr>
          <w:lang w:eastAsia="zh-CN"/>
        </w:rPr>
      </w:pPr>
      <w:r>
        <w:rPr>
          <w:rFonts w:ascii="仿宋" w:hAnsi="仿宋" w:eastAsia="仿宋"/>
          <w:sz w:val="30"/>
          <w:lang w:eastAsia="zh-CN"/>
        </w:rPr>
        <w:t>第四十七条  公示期满无异议或异议不成立的，由标委会报科促会秘书长办公会审议批准后发布。</w:t>
      </w:r>
    </w:p>
    <w:p w14:paraId="07702E83">
      <w:pPr>
        <w:spacing w:after="80" w:line="360" w:lineRule="auto"/>
        <w:ind w:firstLine="420"/>
        <w:rPr>
          <w:lang w:eastAsia="zh-CN"/>
        </w:rPr>
      </w:pPr>
      <w:r>
        <w:rPr>
          <w:rFonts w:ascii="仿宋" w:hAnsi="仿宋" w:eastAsia="仿宋"/>
          <w:sz w:val="30"/>
          <w:lang w:eastAsia="zh-CN"/>
        </w:rPr>
        <w:t>第四十八条  经批准发布的专家共识，由标委会统一编号，在科促会官网全文发布，并通过科促会公众号等渠道发布发布公告。</w:t>
      </w:r>
    </w:p>
    <w:p w14:paraId="75B50405">
      <w:pPr>
        <w:spacing w:after="80" w:line="360" w:lineRule="auto"/>
        <w:ind w:firstLine="420"/>
        <w:rPr>
          <w:lang w:eastAsia="zh-CN"/>
        </w:rPr>
      </w:pPr>
      <w:r>
        <w:rPr>
          <w:rFonts w:ascii="仿宋" w:hAnsi="仿宋" w:eastAsia="仿宋"/>
          <w:sz w:val="30"/>
          <w:lang w:eastAsia="zh-CN"/>
        </w:rPr>
        <w:t>第四十九条  专家共识发布后，标委会应将全套材料（立项材料、编制过程材料、审查材料、报批材料、发布稿等）整理归档，建立专家共识档案。</w:t>
      </w:r>
    </w:p>
    <w:p w14:paraId="3C682901">
      <w:pPr>
        <w:spacing w:after="80" w:line="360" w:lineRule="auto"/>
        <w:ind w:firstLine="420"/>
        <w:rPr>
          <w:lang w:eastAsia="zh-CN"/>
        </w:rPr>
      </w:pPr>
      <w:r>
        <w:rPr>
          <w:rFonts w:ascii="仿宋" w:hAnsi="仿宋" w:eastAsia="仿宋"/>
          <w:sz w:val="30"/>
          <w:lang w:eastAsia="zh-CN"/>
        </w:rPr>
        <w:t>第五十条  鼓励专家共识主研单位将发布后的专家共识投稿至相关学术期刊发表。发表时应注明"本专家共识由中国国际科技促进会发布"及共识编号。</w:t>
      </w:r>
    </w:p>
    <w:p w14:paraId="02F9E881">
      <w:pPr>
        <w:spacing w:before="360" w:after="240"/>
        <w:jc w:val="center"/>
        <w:rPr>
          <w:lang w:eastAsia="zh-CN"/>
        </w:rPr>
      </w:pPr>
      <w:r>
        <w:rPr>
          <w:rFonts w:ascii="黑体" w:hAnsi="黑体" w:eastAsia="黑体"/>
          <w:b/>
          <w:sz w:val="32"/>
          <w:lang w:eastAsia="zh-CN"/>
        </w:rPr>
        <w:t>第七章  实施、推广与复审</w:t>
      </w:r>
    </w:p>
    <w:p w14:paraId="485947DF">
      <w:pPr>
        <w:spacing w:after="80" w:line="360" w:lineRule="auto"/>
        <w:ind w:firstLine="420"/>
        <w:rPr>
          <w:lang w:eastAsia="zh-CN"/>
        </w:rPr>
      </w:pPr>
      <w:r>
        <w:rPr>
          <w:rFonts w:ascii="仿宋" w:hAnsi="仿宋" w:eastAsia="仿宋"/>
          <w:sz w:val="30"/>
          <w:lang w:eastAsia="zh-CN"/>
        </w:rPr>
        <w:t>第五十一条  专家共识发布后，标委会应会同主研单位制定宣贯推广计划，通过培训班、研讨会、学术会议、线上课程等多种形式开展宣贯活动，推动共识在行业内的应用和实施。</w:t>
      </w:r>
    </w:p>
    <w:p w14:paraId="242719E5">
      <w:pPr>
        <w:spacing w:after="80" w:line="360" w:lineRule="auto"/>
        <w:ind w:firstLine="420"/>
        <w:rPr>
          <w:lang w:eastAsia="zh-CN"/>
        </w:rPr>
      </w:pPr>
      <w:r>
        <w:rPr>
          <w:rFonts w:ascii="仿宋" w:hAnsi="仿宋" w:eastAsia="仿宋"/>
          <w:sz w:val="30"/>
          <w:lang w:eastAsia="zh-CN"/>
        </w:rPr>
        <w:t>第五十二条  专家共识发布后6个月内，项目工作组应组织开展目标用户评价工作。目标用户评价可采取以下方式：</w:t>
      </w:r>
    </w:p>
    <w:p w14:paraId="0B19358B">
      <w:pPr>
        <w:spacing w:after="40" w:line="360" w:lineRule="auto"/>
        <w:ind w:firstLine="420"/>
        <w:rPr>
          <w:lang w:eastAsia="zh-CN"/>
        </w:rPr>
      </w:pPr>
      <w:r>
        <w:rPr>
          <w:rFonts w:ascii="仿宋" w:hAnsi="仿宋" w:eastAsia="仿宋"/>
          <w:sz w:val="30"/>
          <w:lang w:eastAsia="zh-CN"/>
        </w:rPr>
        <w:t>（一）项目组自行组织：邀请不少于20名目标用户专家，以面对面或线上方式对共识的实用性、可操作性、完整性进行评价，填写目标用户评价表，形成评价报告；</w:t>
      </w:r>
    </w:p>
    <w:p w14:paraId="6127D6AF">
      <w:pPr>
        <w:spacing w:after="40" w:line="360" w:lineRule="auto"/>
        <w:ind w:firstLine="420"/>
        <w:rPr>
          <w:lang w:eastAsia="zh-CN"/>
        </w:rPr>
      </w:pPr>
      <w:r>
        <w:rPr>
          <w:rFonts w:ascii="仿宋" w:hAnsi="仿宋" w:eastAsia="仿宋"/>
          <w:sz w:val="30"/>
          <w:lang w:eastAsia="zh-CN"/>
        </w:rPr>
        <w:t>（二）标委会组织：由标委会邀请不少于20名目标用户专家开展评价，形成评价报告。</w:t>
      </w:r>
    </w:p>
    <w:p w14:paraId="5063D276">
      <w:pPr>
        <w:spacing w:after="80" w:line="360" w:lineRule="auto"/>
        <w:ind w:firstLine="420"/>
        <w:rPr>
          <w:lang w:eastAsia="zh-CN"/>
        </w:rPr>
      </w:pPr>
      <w:r>
        <w:rPr>
          <w:rFonts w:ascii="仿宋" w:hAnsi="仿宋" w:eastAsia="仿宋"/>
          <w:sz w:val="30"/>
          <w:lang w:eastAsia="zh-CN"/>
        </w:rPr>
        <w:t>第五十三条  目标用户评价中发现的问题，由项目工作组研究处理，必要时可启动共识的修订程序。</w:t>
      </w:r>
    </w:p>
    <w:p w14:paraId="208DDF5F">
      <w:pPr>
        <w:spacing w:after="80" w:line="360" w:lineRule="auto"/>
        <w:ind w:firstLine="420"/>
        <w:rPr>
          <w:lang w:eastAsia="zh-CN"/>
        </w:rPr>
      </w:pPr>
      <w:r>
        <w:rPr>
          <w:rFonts w:ascii="仿宋" w:hAnsi="仿宋" w:eastAsia="仿宋"/>
          <w:sz w:val="30"/>
          <w:lang w:eastAsia="zh-CN"/>
        </w:rPr>
        <w:t>第五十四条  专家共识实行动态更新和定期复审制度。复审周期一般不超过3年。标委会根据技术发展和行业需求，制定年度复审计划，组织相关专家对已发布的专家共识进行复审。</w:t>
      </w:r>
    </w:p>
    <w:p w14:paraId="7DBF0591">
      <w:pPr>
        <w:spacing w:after="80" w:line="360" w:lineRule="auto"/>
        <w:ind w:firstLine="420"/>
        <w:rPr>
          <w:lang w:eastAsia="zh-CN"/>
        </w:rPr>
      </w:pPr>
      <w:r>
        <w:rPr>
          <w:rFonts w:ascii="仿宋" w:hAnsi="仿宋" w:eastAsia="仿宋"/>
          <w:sz w:val="30"/>
          <w:lang w:eastAsia="zh-CN"/>
        </w:rPr>
        <w:t>第五十五条  复审可采取函审或会审形式，复审结论分为：</w:t>
      </w:r>
    </w:p>
    <w:p w14:paraId="24458583">
      <w:pPr>
        <w:spacing w:after="40" w:line="360" w:lineRule="auto"/>
        <w:ind w:firstLine="420"/>
        <w:rPr>
          <w:lang w:eastAsia="zh-CN"/>
        </w:rPr>
      </w:pPr>
      <w:r>
        <w:rPr>
          <w:rFonts w:ascii="仿宋" w:hAnsi="仿宋" w:eastAsia="仿宋"/>
          <w:sz w:val="30"/>
          <w:lang w:eastAsia="zh-CN"/>
        </w:rPr>
        <w:t>（一）继续有效：共识内容仍然适用，无需修改；</w:t>
      </w:r>
    </w:p>
    <w:p w14:paraId="1A1FB38E">
      <w:pPr>
        <w:spacing w:after="40" w:line="360" w:lineRule="auto"/>
        <w:ind w:firstLine="420"/>
        <w:rPr>
          <w:lang w:eastAsia="zh-CN"/>
        </w:rPr>
      </w:pPr>
      <w:r>
        <w:rPr>
          <w:rFonts w:ascii="仿宋" w:hAnsi="仿宋" w:eastAsia="仿宋"/>
          <w:sz w:val="30"/>
          <w:lang w:eastAsia="zh-CN"/>
        </w:rPr>
        <w:t>（二）予以修订：共识部分内容需要更新完善；</w:t>
      </w:r>
    </w:p>
    <w:p w14:paraId="4D381492">
      <w:pPr>
        <w:spacing w:after="40" w:line="360" w:lineRule="auto"/>
        <w:ind w:firstLine="420"/>
        <w:rPr>
          <w:lang w:eastAsia="zh-CN"/>
        </w:rPr>
      </w:pPr>
      <w:r>
        <w:rPr>
          <w:rFonts w:ascii="仿宋" w:hAnsi="仿宋" w:eastAsia="仿宋"/>
          <w:sz w:val="30"/>
          <w:lang w:eastAsia="zh-CN"/>
        </w:rPr>
        <w:t>（三）予以废止：共识已不适用或被新标准替代。</w:t>
      </w:r>
    </w:p>
    <w:p w14:paraId="7B79F18A">
      <w:pPr>
        <w:spacing w:after="80" w:line="360" w:lineRule="auto"/>
        <w:ind w:firstLine="420"/>
        <w:rPr>
          <w:lang w:eastAsia="zh-CN"/>
        </w:rPr>
      </w:pPr>
      <w:r>
        <w:rPr>
          <w:rFonts w:ascii="仿宋" w:hAnsi="仿宋" w:eastAsia="仿宋"/>
          <w:sz w:val="30"/>
          <w:lang w:eastAsia="zh-CN"/>
        </w:rPr>
        <w:t>第五十六条  复审结论为修订的专家共识，由标委会通知原主研单位组织修订。修订工作参照本办法规定的编制和审查程序执行。修订后的专家共识重新编号发布，原共识同时废止。</w:t>
      </w:r>
    </w:p>
    <w:p w14:paraId="1034266F">
      <w:pPr>
        <w:spacing w:after="80" w:line="360" w:lineRule="auto"/>
        <w:ind w:firstLine="420"/>
        <w:rPr>
          <w:lang w:eastAsia="zh-CN"/>
        </w:rPr>
      </w:pPr>
      <w:r>
        <w:rPr>
          <w:rFonts w:ascii="仿宋" w:hAnsi="仿宋" w:eastAsia="仿宋"/>
          <w:sz w:val="30"/>
          <w:lang w:eastAsia="zh-CN"/>
        </w:rPr>
        <w:t>第五十七条  有下列情形之一的专家共识，应及时予以废止：</w:t>
      </w:r>
    </w:p>
    <w:p w14:paraId="3BB327FF">
      <w:pPr>
        <w:spacing w:after="40" w:line="360" w:lineRule="auto"/>
        <w:ind w:firstLine="420"/>
        <w:rPr>
          <w:lang w:eastAsia="zh-CN"/>
        </w:rPr>
      </w:pPr>
      <w:r>
        <w:rPr>
          <w:rFonts w:ascii="仿宋" w:hAnsi="仿宋" w:eastAsia="仿宋"/>
          <w:sz w:val="30"/>
          <w:lang w:eastAsia="zh-CN"/>
        </w:rPr>
        <w:t>（一）共识内容与现行法律法规、强制性标准相抵触；</w:t>
      </w:r>
    </w:p>
    <w:p w14:paraId="631239E7">
      <w:pPr>
        <w:spacing w:after="40" w:line="360" w:lineRule="auto"/>
        <w:ind w:firstLine="420"/>
        <w:rPr>
          <w:lang w:eastAsia="zh-CN"/>
        </w:rPr>
      </w:pPr>
      <w:r>
        <w:rPr>
          <w:rFonts w:ascii="仿宋" w:hAnsi="仿宋" w:eastAsia="仿宋"/>
          <w:sz w:val="30"/>
          <w:lang w:eastAsia="zh-CN"/>
        </w:rPr>
        <w:t>（二）共识所涉及的技术已被淘汰或被新标准全面替代；</w:t>
      </w:r>
    </w:p>
    <w:p w14:paraId="4D442BB5">
      <w:pPr>
        <w:spacing w:after="40" w:line="360" w:lineRule="auto"/>
        <w:ind w:firstLine="420"/>
        <w:rPr>
          <w:lang w:eastAsia="zh-CN"/>
        </w:rPr>
      </w:pPr>
      <w:r>
        <w:rPr>
          <w:rFonts w:ascii="仿宋" w:hAnsi="仿宋" w:eastAsia="仿宋"/>
          <w:sz w:val="30"/>
          <w:lang w:eastAsia="zh-CN"/>
        </w:rPr>
        <w:t>（三）经实践检验共识内容存在重大缺陷或错误；</w:t>
      </w:r>
    </w:p>
    <w:p w14:paraId="4B4DA1F5">
      <w:pPr>
        <w:spacing w:after="40" w:line="360" w:lineRule="auto"/>
        <w:ind w:firstLine="420"/>
        <w:rPr>
          <w:lang w:eastAsia="zh-CN"/>
        </w:rPr>
      </w:pPr>
      <w:r>
        <w:rPr>
          <w:rFonts w:ascii="仿宋" w:hAnsi="仿宋" w:eastAsia="仿宋"/>
          <w:sz w:val="30"/>
          <w:lang w:eastAsia="zh-CN"/>
        </w:rPr>
        <w:t>（四）其他应当废止的情形。</w:t>
      </w:r>
    </w:p>
    <w:p w14:paraId="7C4B20B9">
      <w:pPr>
        <w:spacing w:after="80" w:line="360" w:lineRule="auto"/>
        <w:ind w:firstLine="420"/>
        <w:rPr>
          <w:lang w:eastAsia="zh-CN"/>
        </w:rPr>
      </w:pPr>
      <w:r>
        <w:rPr>
          <w:rFonts w:ascii="仿宋" w:hAnsi="仿宋" w:eastAsia="仿宋"/>
          <w:sz w:val="30"/>
          <w:lang w:eastAsia="zh-CN"/>
        </w:rPr>
        <w:t>第五十八条  废止的专家共识由科促会发布废止公告，自公告发布之日起废止。</w:t>
      </w:r>
    </w:p>
    <w:p w14:paraId="6933488C">
      <w:pPr>
        <w:spacing w:after="80" w:line="360" w:lineRule="auto"/>
        <w:ind w:firstLine="420"/>
        <w:rPr>
          <w:lang w:eastAsia="zh-CN"/>
        </w:rPr>
      </w:pPr>
      <w:r>
        <w:rPr>
          <w:rFonts w:ascii="仿宋" w:hAnsi="仿宋" w:eastAsia="仿宋"/>
          <w:sz w:val="30"/>
          <w:lang w:eastAsia="zh-CN"/>
        </w:rPr>
        <w:t>第五十九条  若相关领域出现重大技术突破或国家出台新的法律法规、政策标准，对已发布专家共识的适用性产生重大影响的，标委会可即时启动修订或废止程序，不受3年复审周期限制。</w:t>
      </w:r>
    </w:p>
    <w:p w14:paraId="6F732010">
      <w:pPr>
        <w:spacing w:before="360" w:after="240"/>
        <w:jc w:val="center"/>
        <w:rPr>
          <w:lang w:eastAsia="zh-CN"/>
        </w:rPr>
      </w:pPr>
      <w:r>
        <w:rPr>
          <w:rFonts w:ascii="黑体" w:hAnsi="黑体" w:eastAsia="黑体"/>
          <w:b/>
          <w:sz w:val="32"/>
          <w:lang w:eastAsia="zh-CN"/>
        </w:rPr>
        <w:t>第八章  质量控制</w:t>
      </w:r>
    </w:p>
    <w:p w14:paraId="2EA1F3A9">
      <w:pPr>
        <w:spacing w:after="80" w:line="360" w:lineRule="auto"/>
        <w:ind w:firstLine="420"/>
        <w:rPr>
          <w:lang w:eastAsia="zh-CN"/>
        </w:rPr>
      </w:pPr>
      <w:r>
        <w:rPr>
          <w:rFonts w:ascii="仿宋" w:hAnsi="仿宋" w:eastAsia="仿宋"/>
          <w:sz w:val="30"/>
          <w:lang w:eastAsia="zh-CN"/>
        </w:rPr>
        <w:t>第六十条  专家共识工作实行全过程质量控制。标委会应建立质量管理制度，对立项、编制、审查、发布各环节进行质量监督。</w:t>
      </w:r>
    </w:p>
    <w:p w14:paraId="160D58F6">
      <w:pPr>
        <w:spacing w:after="80" w:line="360" w:lineRule="auto"/>
        <w:ind w:firstLine="420"/>
        <w:rPr>
          <w:lang w:eastAsia="zh-CN"/>
        </w:rPr>
      </w:pPr>
      <w:r>
        <w:rPr>
          <w:rFonts w:ascii="仿宋" w:hAnsi="仿宋" w:eastAsia="仿宋"/>
          <w:sz w:val="30"/>
          <w:lang w:eastAsia="zh-CN"/>
        </w:rPr>
        <w:t>第六十一条  专家共识编制应统一采用GRADE（推荐分级的评估、制定与评价）证据分级体系，对推荐意见的证据质量和推荐强度进行分级标注。其他领域可根据学科特点采用经标委会认可的等效证据分级方法。</w:t>
      </w:r>
    </w:p>
    <w:p w14:paraId="191AA28C">
      <w:pPr>
        <w:spacing w:after="80" w:line="360" w:lineRule="auto"/>
        <w:ind w:firstLine="420"/>
        <w:rPr>
          <w:lang w:eastAsia="zh-CN"/>
        </w:rPr>
      </w:pPr>
      <w:r>
        <w:rPr>
          <w:rFonts w:ascii="仿宋" w:hAnsi="仿宋" w:eastAsia="仿宋"/>
          <w:sz w:val="30"/>
          <w:lang w:eastAsia="zh-CN"/>
        </w:rPr>
        <w:t>第六十二条  专家共识的表决规则统一为：同意率达到75%及以上的条款方可纳入推荐意见。对同意率低于75%的条款，应经过进一步论证和修改后重新表决，或作为"尚未达成共识"的内容在共识中予以说明。</w:t>
      </w:r>
    </w:p>
    <w:p w14:paraId="2DDA8BC9">
      <w:pPr>
        <w:spacing w:after="80" w:line="360" w:lineRule="auto"/>
        <w:ind w:firstLine="420"/>
        <w:rPr>
          <w:lang w:eastAsia="zh-CN"/>
        </w:rPr>
      </w:pPr>
      <w:r>
        <w:rPr>
          <w:rFonts w:ascii="仿宋" w:hAnsi="仿宋" w:eastAsia="仿宋"/>
          <w:sz w:val="30"/>
          <w:lang w:eastAsia="zh-CN"/>
        </w:rPr>
        <w:t>第六十三条  专家共识编制过程中的所有会议记录、投票文件、函询结果、意见处理表等原始资料均应完整归档留存，做到全程可追溯。档案保存期限不少于10年。</w:t>
      </w:r>
    </w:p>
    <w:p w14:paraId="343156F7">
      <w:pPr>
        <w:spacing w:after="80" w:line="360" w:lineRule="auto"/>
        <w:ind w:firstLine="420"/>
        <w:rPr>
          <w:lang w:eastAsia="zh-CN"/>
        </w:rPr>
      </w:pPr>
      <w:r>
        <w:rPr>
          <w:rFonts w:ascii="仿宋" w:hAnsi="仿宋" w:eastAsia="仿宋"/>
          <w:sz w:val="30"/>
          <w:lang w:eastAsia="zh-CN"/>
        </w:rPr>
        <w:t>第六十四条  标委会应建立专家共识质量评估机制，定期对已发布专家共识的质量和实施效果进行评估，评估结果作为改进工作和评优表彰的依据。</w:t>
      </w:r>
    </w:p>
    <w:p w14:paraId="63E21D5E">
      <w:pPr>
        <w:spacing w:before="360" w:after="240"/>
        <w:jc w:val="center"/>
        <w:rPr>
          <w:lang w:eastAsia="zh-CN"/>
        </w:rPr>
      </w:pPr>
      <w:r>
        <w:rPr>
          <w:rFonts w:ascii="黑体" w:hAnsi="黑体" w:eastAsia="黑体"/>
          <w:b/>
          <w:sz w:val="32"/>
          <w:lang w:eastAsia="zh-CN"/>
        </w:rPr>
        <w:t>第九章  知识产权与经费管理</w:t>
      </w:r>
    </w:p>
    <w:p w14:paraId="748D7E9B">
      <w:pPr>
        <w:spacing w:after="80" w:line="360" w:lineRule="auto"/>
        <w:ind w:firstLine="420"/>
        <w:rPr>
          <w:lang w:eastAsia="zh-CN"/>
        </w:rPr>
      </w:pPr>
      <w:r>
        <w:rPr>
          <w:rFonts w:ascii="仿宋" w:hAnsi="仿宋" w:eastAsia="仿宋"/>
          <w:sz w:val="30"/>
          <w:lang w:eastAsia="zh-CN"/>
        </w:rPr>
        <w:t xml:space="preserve">第六十五条  </w:t>
      </w:r>
      <w:r>
        <w:rPr>
          <w:rFonts w:hint="eastAsia" w:ascii="仿宋" w:hAnsi="仿宋" w:eastAsia="仿宋"/>
          <w:sz w:val="30"/>
          <w:lang w:eastAsia="zh-CN"/>
        </w:rPr>
        <w:t>著作权（含发表权、修改权、保护作品完整权、复制权、发行权、信息网络传播权等全部权利）</w:t>
      </w:r>
      <w:r>
        <w:rPr>
          <w:rFonts w:hint="eastAsia" w:ascii="仿宋" w:hAnsi="仿宋" w:eastAsia="仿宋"/>
          <w:sz w:val="30"/>
          <w:lang w:val="en-US" w:eastAsia="zh-CN"/>
        </w:rPr>
        <w:t>由发布归口单位和牵头组织单位及主要起草单位协商后签订协议确定，参与制定人员，享有在共识文本及相关发布材料中的署名权。</w:t>
      </w:r>
      <w:bookmarkStart w:id="0" w:name="_GoBack"/>
      <w:bookmarkEnd w:id="0"/>
    </w:p>
    <w:p w14:paraId="733EE9E1">
      <w:pPr>
        <w:spacing w:after="80" w:line="360" w:lineRule="auto"/>
        <w:ind w:firstLine="420"/>
        <w:rPr>
          <w:lang w:eastAsia="zh-CN"/>
        </w:rPr>
      </w:pPr>
      <w:r>
        <w:rPr>
          <w:rFonts w:ascii="仿宋" w:hAnsi="仿宋" w:eastAsia="仿宋"/>
          <w:sz w:val="30"/>
          <w:lang w:eastAsia="zh-CN"/>
        </w:rPr>
        <w:t>第六十六条  专家共识编制过程中涉及的专利，按照《中华人民共和国专利法》和科促会有关规定处理。项目工作组应在立项阶段披露必要专利信息，涉及专利的共识条款应获得专利权人的许可声明。</w:t>
      </w:r>
    </w:p>
    <w:p w14:paraId="4F9F5A64">
      <w:pPr>
        <w:spacing w:after="80" w:line="360" w:lineRule="auto"/>
        <w:ind w:firstLine="420"/>
        <w:rPr>
          <w:lang w:eastAsia="zh-CN"/>
        </w:rPr>
      </w:pPr>
      <w:r>
        <w:rPr>
          <w:rFonts w:ascii="仿宋" w:hAnsi="仿宋" w:eastAsia="仿宋"/>
          <w:sz w:val="30"/>
          <w:lang w:eastAsia="zh-CN"/>
        </w:rPr>
        <w:t>第六十七条  专家共识编制经费由主研单位负责筹集，可来自财政科研项目经费、企业资助、社会捐赠等合法渠道。经费使用应符合国家有关规定和合作协议约定，专款专用，接受审计监督。</w:t>
      </w:r>
    </w:p>
    <w:p w14:paraId="2F5B9FB2">
      <w:pPr>
        <w:spacing w:after="80" w:line="360" w:lineRule="auto"/>
        <w:ind w:firstLine="420"/>
        <w:rPr>
          <w:lang w:eastAsia="zh-CN"/>
        </w:rPr>
      </w:pPr>
      <w:r>
        <w:rPr>
          <w:rFonts w:ascii="仿宋" w:hAnsi="仿宋" w:eastAsia="仿宋"/>
          <w:sz w:val="30"/>
          <w:lang w:eastAsia="zh-CN"/>
        </w:rPr>
        <w:t>第六十八条  科促会专家共识工作的管理经费，按照科促会财务管理规定执行。</w:t>
      </w:r>
    </w:p>
    <w:p w14:paraId="690A42AF">
      <w:pPr>
        <w:spacing w:before="360" w:after="240"/>
        <w:jc w:val="center"/>
        <w:rPr>
          <w:lang w:eastAsia="zh-CN"/>
        </w:rPr>
      </w:pPr>
      <w:r>
        <w:rPr>
          <w:rFonts w:ascii="黑体" w:hAnsi="黑体" w:eastAsia="黑体"/>
          <w:b/>
          <w:sz w:val="32"/>
          <w:lang w:eastAsia="zh-CN"/>
        </w:rPr>
        <w:t>第十章  监督与申诉</w:t>
      </w:r>
    </w:p>
    <w:p w14:paraId="49AD174E">
      <w:pPr>
        <w:spacing w:after="80" w:line="360" w:lineRule="auto"/>
        <w:ind w:firstLine="420"/>
        <w:rPr>
          <w:lang w:eastAsia="zh-CN"/>
        </w:rPr>
      </w:pPr>
      <w:r>
        <w:rPr>
          <w:rFonts w:ascii="仿宋" w:hAnsi="仿宋" w:eastAsia="仿宋"/>
          <w:sz w:val="30"/>
          <w:lang w:eastAsia="zh-CN"/>
        </w:rPr>
        <w:t>第六十九条  科促会对专家共识工作实行全过程监督。标委会应建立监督检查机制，对项目执行情况、经费使用情况、程序合规性等进行监督检查。</w:t>
      </w:r>
    </w:p>
    <w:p w14:paraId="1063DC1D">
      <w:pPr>
        <w:spacing w:after="80" w:line="360" w:lineRule="auto"/>
        <w:ind w:firstLine="420"/>
        <w:rPr>
          <w:lang w:eastAsia="zh-CN"/>
        </w:rPr>
      </w:pPr>
      <w:r>
        <w:rPr>
          <w:rFonts w:ascii="仿宋" w:hAnsi="仿宋" w:eastAsia="仿宋"/>
          <w:sz w:val="30"/>
          <w:lang w:eastAsia="zh-CN"/>
        </w:rPr>
        <w:t>第七十条  专家共识立项、编制、审查、发布等各环节信息应在科促会官网公开，接受社会监督。</w:t>
      </w:r>
    </w:p>
    <w:p w14:paraId="61FFF0AB">
      <w:pPr>
        <w:spacing w:after="80" w:line="360" w:lineRule="auto"/>
        <w:ind w:firstLine="420"/>
        <w:rPr>
          <w:lang w:eastAsia="zh-CN"/>
        </w:rPr>
      </w:pPr>
      <w:r>
        <w:rPr>
          <w:rFonts w:ascii="仿宋" w:hAnsi="仿宋" w:eastAsia="仿宋"/>
          <w:sz w:val="30"/>
          <w:lang w:eastAsia="zh-CN"/>
        </w:rPr>
        <w:t>第七十一条  任何单位和个人认为专家共识工作中存在违规行为或共识内容存在问题的，可向标委会投诉或举报。标委会应在收到投诉举报后30个工作日内组织调查核实，并将处理结果反馈投诉举报人。</w:t>
      </w:r>
    </w:p>
    <w:p w14:paraId="32C0A970">
      <w:pPr>
        <w:spacing w:after="80" w:line="360" w:lineRule="auto"/>
        <w:ind w:firstLine="420"/>
        <w:rPr>
          <w:lang w:eastAsia="zh-CN"/>
        </w:rPr>
      </w:pPr>
      <w:r>
        <w:rPr>
          <w:rFonts w:ascii="仿宋" w:hAnsi="仿宋" w:eastAsia="仿宋"/>
          <w:sz w:val="30"/>
          <w:lang w:eastAsia="zh-CN"/>
        </w:rPr>
        <w:t>第七十二条  项目申报单位或项目组对立项论证、技术审查等结论有异议的，可在收到结论后15个工作日内向标委会提出书面申诉。标委会应在收到申诉后30个工作日内组织复核，并作出复核决定。复核决定为最终决定。</w:t>
      </w:r>
    </w:p>
    <w:p w14:paraId="2430F4F2">
      <w:pPr>
        <w:spacing w:after="80" w:line="360" w:lineRule="auto"/>
        <w:ind w:firstLine="420"/>
        <w:rPr>
          <w:lang w:eastAsia="zh-CN"/>
        </w:rPr>
      </w:pPr>
      <w:r>
        <w:rPr>
          <w:rFonts w:ascii="仿宋" w:hAnsi="仿宋" w:eastAsia="仿宋"/>
          <w:sz w:val="30"/>
          <w:lang w:eastAsia="zh-CN"/>
        </w:rPr>
        <w:t>第七十三条  对在专家共识工作中存在学术不端、弄虚作假、利益输送等违规行为的单位和个人，科促会视情节轻重给予通报批评、取消项目资格、暂停或取消专家库资格等处理；涉嫌违法的，移送有关部门处理。</w:t>
      </w:r>
    </w:p>
    <w:p w14:paraId="0531B7CB">
      <w:pPr>
        <w:spacing w:before="360" w:after="240"/>
        <w:jc w:val="center"/>
        <w:rPr>
          <w:lang w:eastAsia="zh-CN"/>
        </w:rPr>
      </w:pPr>
      <w:r>
        <w:rPr>
          <w:rFonts w:ascii="黑体" w:hAnsi="黑体" w:eastAsia="黑体"/>
          <w:b/>
          <w:sz w:val="32"/>
          <w:lang w:eastAsia="zh-CN"/>
        </w:rPr>
        <w:t>第十一章  附  则</w:t>
      </w:r>
    </w:p>
    <w:p w14:paraId="5F648BFC">
      <w:pPr>
        <w:spacing w:after="80" w:line="360" w:lineRule="auto"/>
        <w:ind w:firstLine="420"/>
        <w:rPr>
          <w:lang w:eastAsia="zh-CN"/>
        </w:rPr>
      </w:pPr>
      <w:r>
        <w:rPr>
          <w:rFonts w:ascii="仿宋" w:hAnsi="仿宋" w:eastAsia="仿宋"/>
          <w:sz w:val="30"/>
          <w:lang w:eastAsia="zh-CN"/>
        </w:rPr>
        <w:t>第七十四条  本办法由中国国际科技促进会标准化工作委员会和专家工作委员会负责解释。</w:t>
      </w:r>
    </w:p>
    <w:p w14:paraId="2F5B26F4">
      <w:pPr>
        <w:spacing w:after="80" w:line="360" w:lineRule="auto"/>
        <w:ind w:firstLine="420"/>
        <w:rPr>
          <w:lang w:eastAsia="zh-CN"/>
        </w:rPr>
      </w:pPr>
      <w:r>
        <w:rPr>
          <w:rFonts w:ascii="仿宋" w:hAnsi="仿宋" w:eastAsia="仿宋"/>
          <w:sz w:val="30"/>
          <w:lang w:eastAsia="zh-CN"/>
        </w:rPr>
        <w:t>第七十五条  本办法未尽事宜，参照《中国国际科技促进会团体标准管理办法》及相关规定执行。</w:t>
      </w:r>
    </w:p>
    <w:p w14:paraId="56F22167">
      <w:pPr>
        <w:spacing w:after="80" w:line="360" w:lineRule="auto"/>
        <w:ind w:firstLine="420"/>
        <w:rPr>
          <w:lang w:eastAsia="zh-CN"/>
        </w:rPr>
      </w:pPr>
      <w:r>
        <w:rPr>
          <w:rFonts w:ascii="仿宋" w:hAnsi="仿宋" w:eastAsia="仿宋"/>
          <w:sz w:val="30"/>
          <w:lang w:eastAsia="zh-CN"/>
        </w:rPr>
        <w:t>第七十六条  本办法经中国国际科技促进会常务理事会审议通过后生效，自发布之日起施行。</w:t>
      </w:r>
    </w:p>
    <w:p w14:paraId="21F84031">
      <w:pPr>
        <w:spacing w:after="0"/>
        <w:rPr>
          <w:lang w:eastAsia="zh-CN"/>
        </w:rPr>
      </w:pPr>
    </w:p>
    <w:p w14:paraId="4BC34E20">
      <w:pPr>
        <w:spacing w:after="0"/>
        <w:rPr>
          <w:lang w:eastAsia="zh-CN"/>
        </w:rPr>
      </w:pPr>
    </w:p>
    <w:p w14:paraId="1E98EF8E">
      <w:pPr>
        <w:spacing w:before="480"/>
        <w:jc w:val="right"/>
        <w:rPr>
          <w:lang w:eastAsia="zh-CN"/>
        </w:rPr>
      </w:pPr>
      <w:r>
        <w:rPr>
          <w:rFonts w:ascii="仿宋" w:hAnsi="仿宋" w:eastAsia="仿宋"/>
          <w:sz w:val="30"/>
          <w:lang w:eastAsia="zh-CN"/>
        </w:rPr>
        <w:t>中国国际科技促进会</w:t>
      </w:r>
    </w:p>
    <w:p w14:paraId="6C2ACA76">
      <w:pPr>
        <w:jc w:val="right"/>
        <w:rPr>
          <w:lang w:eastAsia="zh-CN"/>
        </w:rPr>
      </w:pPr>
      <w:r>
        <w:rPr>
          <w:rFonts w:ascii="仿宋" w:hAnsi="仿宋" w:eastAsia="仿宋"/>
          <w:sz w:val="30"/>
          <w:lang w:eastAsia="zh-CN"/>
        </w:rPr>
        <w:t>二〇二六年    月    日</w:t>
      </w:r>
    </w:p>
    <w:sectPr>
      <w:pgSz w:w="12240" w:h="15840"/>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方正小标宋简体">
    <w:altName w:val="Arial Unicode MS"/>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ＭＳ 明朝">
    <w:altName w:val="XcGJSymbol"/>
    <w:panose1 w:val="00000000000000000000"/>
    <w:charset w:val="00"/>
    <w:family w:val="auto"/>
    <w:pitch w:val="default"/>
    <w:sig w:usb0="00000000" w:usb1="00000000" w:usb2="00000000" w:usb3="00000000" w:csb0="00000000" w:csb1="00000000"/>
  </w:font>
  <w:font w:name="XcGJSymbol">
    <w:panose1 w:val="020005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Courier New">
    <w:panose1 w:val="02070309020205020404"/>
    <w:charset w:val="00"/>
    <w:family w:val="auto"/>
    <w:pitch w:val="default"/>
    <w:sig w:usb0="E0002EFF" w:usb1="C0007843" w:usb2="00000009" w:usb3="00000000" w:csb0="400001FF" w:csb1="FFFF0000"/>
  </w:font>
  <w:font w:name="Arial Unicode MS">
    <w:panose1 w:val="020B0604020202020204"/>
    <w:charset w:val="86"/>
    <w:family w:val="auto"/>
    <w:pitch w:val="default"/>
    <w:sig w:usb0="F7FFAEFF" w:usb1="F9DFFFFF" w:usb2="0000007F" w:usb3="00000000" w:csb0="203F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A3DB7"/>
    <w:rsid w:val="0015074B"/>
    <w:rsid w:val="0029639D"/>
    <w:rsid w:val="00326F90"/>
    <w:rsid w:val="004622CE"/>
    <w:rsid w:val="00473060"/>
    <w:rsid w:val="004C0F86"/>
    <w:rsid w:val="00681FF7"/>
    <w:rsid w:val="00AA1D8D"/>
    <w:rsid w:val="00B47730"/>
    <w:rsid w:val="00CB0664"/>
    <w:rsid w:val="00D579C7"/>
    <w:rsid w:val="00D9448C"/>
    <w:rsid w:val="00FC693F"/>
    <w:rsid w:val="631F6D0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2">
    <w:name w:val="macro"/>
    <w:link w:val="150"/>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annotation text"/>
    <w:basedOn w:val="1"/>
    <w:link w:val="167"/>
    <w:unhideWhenUsed/>
    <w:uiPriority w:val="99"/>
  </w:style>
  <w:style w:type="paragraph" w:styleId="18">
    <w:name w:val="Body Text 3"/>
    <w:basedOn w:val="1"/>
    <w:link w:val="149"/>
    <w:unhideWhenUsed/>
    <w:uiPriority w:val="99"/>
    <w:pPr>
      <w:spacing w:after="120"/>
    </w:pPr>
    <w:rPr>
      <w:sz w:val="16"/>
      <w:szCs w:val="16"/>
    </w:rPr>
  </w:style>
  <w:style w:type="paragraph" w:styleId="19">
    <w:name w:val="List Bullet 3"/>
    <w:basedOn w:val="1"/>
    <w:unhideWhenUsed/>
    <w:uiPriority w:val="99"/>
    <w:pPr>
      <w:numPr>
        <w:ilvl w:val="0"/>
        <w:numId w:val="4"/>
      </w:numPr>
      <w:contextualSpacing/>
    </w:pPr>
  </w:style>
  <w:style w:type="paragraph" w:styleId="20">
    <w:name w:val="Body Text"/>
    <w:basedOn w:val="1"/>
    <w:link w:val="147"/>
    <w:unhideWhenUsed/>
    <w:uiPriority w:val="99"/>
    <w:pPr>
      <w:spacing w:after="120"/>
    </w:pPr>
  </w:style>
  <w:style w:type="paragraph" w:styleId="21">
    <w:name w:val="List Number 3"/>
    <w:basedOn w:val="1"/>
    <w:unhideWhenUsed/>
    <w:uiPriority w:val="99"/>
    <w:pPr>
      <w:numPr>
        <w:ilvl w:val="0"/>
        <w:numId w:val="5"/>
      </w:numPr>
      <w:contextualSpacing/>
    </w:pPr>
  </w:style>
  <w:style w:type="paragraph" w:styleId="22">
    <w:name w:val="List 2"/>
    <w:basedOn w:val="1"/>
    <w:unhideWhenUsed/>
    <w:uiPriority w:val="99"/>
    <w:pPr>
      <w:ind w:left="720" w:hanging="360"/>
      <w:contextualSpacing/>
    </w:pPr>
  </w:style>
  <w:style w:type="paragraph" w:styleId="23">
    <w:name w:val="List Continue"/>
    <w:basedOn w:val="1"/>
    <w:unhideWhenUsed/>
    <w:uiPriority w:val="99"/>
    <w:pPr>
      <w:spacing w:after="120"/>
      <w:ind w:left="360"/>
      <w:contextualSpacing/>
    </w:pPr>
  </w:style>
  <w:style w:type="paragraph" w:styleId="24">
    <w:name w:val="List Bullet 2"/>
    <w:basedOn w:val="1"/>
    <w:unhideWhenUsed/>
    <w:uiPriority w:val="99"/>
    <w:pPr>
      <w:numPr>
        <w:ilvl w:val="0"/>
        <w:numId w:val="6"/>
      </w:numPr>
      <w:contextualSpacing/>
    </w:pPr>
  </w:style>
  <w:style w:type="paragraph" w:styleId="25">
    <w:name w:val="footer"/>
    <w:basedOn w:val="1"/>
    <w:link w:val="139"/>
    <w:unhideWhenUsed/>
    <w:qFormat/>
    <w:uiPriority w:val="99"/>
    <w:pPr>
      <w:tabs>
        <w:tab w:val="center" w:pos="4680"/>
        <w:tab w:val="right" w:pos="9360"/>
      </w:tabs>
      <w:spacing w:after="0" w:line="240" w:lineRule="auto"/>
    </w:pPr>
  </w:style>
  <w:style w:type="paragraph" w:styleId="26">
    <w:name w:val="header"/>
    <w:basedOn w:val="1"/>
    <w:link w:val="138"/>
    <w:unhideWhenUsed/>
    <w:qFormat/>
    <w:uiPriority w:val="99"/>
    <w:pPr>
      <w:tabs>
        <w:tab w:val="center" w:pos="4680"/>
        <w:tab w:val="right" w:pos="9360"/>
      </w:tabs>
      <w:spacing w:after="0" w:line="240" w:lineRule="auto"/>
    </w:pPr>
  </w:style>
  <w:style w:type="paragraph" w:styleId="27">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uiPriority w:val="99"/>
    <w:pPr>
      <w:ind w:left="360" w:hanging="360"/>
      <w:contextualSpacing/>
    </w:pPr>
  </w:style>
  <w:style w:type="paragraph" w:styleId="29">
    <w:name w:val="Body Text 2"/>
    <w:basedOn w:val="1"/>
    <w:link w:val="148"/>
    <w:unhideWhenUsed/>
    <w:uiPriority w:val="99"/>
    <w:pPr>
      <w:spacing w:after="120" w:line="480" w:lineRule="auto"/>
    </w:pPr>
  </w:style>
  <w:style w:type="paragraph" w:styleId="30">
    <w:name w:val="List Continue 2"/>
    <w:basedOn w:val="1"/>
    <w:unhideWhenUsed/>
    <w:uiPriority w:val="99"/>
    <w:pPr>
      <w:spacing w:after="120"/>
      <w:ind w:left="720"/>
      <w:contextualSpacing/>
    </w:pPr>
  </w:style>
  <w:style w:type="paragraph" w:styleId="31">
    <w:name w:val="List Continue 3"/>
    <w:basedOn w:val="1"/>
    <w:unhideWhenUsed/>
    <w:uiPriority w:val="99"/>
    <w:pPr>
      <w:spacing w:after="120"/>
      <w:ind w:left="1080"/>
      <w:contextualSpacing/>
    </w:pPr>
  </w:style>
  <w:style w:type="paragraph" w:styleId="32">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3">
    <w:name w:val="annotation subject"/>
    <w:basedOn w:val="17"/>
    <w:next w:val="17"/>
    <w:link w:val="168"/>
    <w:semiHidden/>
    <w:unhideWhenUsed/>
    <w:qFormat/>
    <w:uiPriority w:val="99"/>
    <w:rPr>
      <w:b/>
      <w:bCs/>
    </w:rPr>
  </w:style>
  <w:style w:type="table" w:styleId="35">
    <w:name w:val="Table Grid"/>
    <w:basedOn w:val="34"/>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6">
    <w:name w:val="Light Shading"/>
    <w:basedOn w:val="34"/>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styleId="137">
    <w:name w:val="annotation reference"/>
    <w:basedOn w:val="134"/>
    <w:semiHidden/>
    <w:unhideWhenUsed/>
    <w:uiPriority w:val="99"/>
    <w:rPr>
      <w:sz w:val="21"/>
      <w:szCs w:val="21"/>
    </w:rPr>
  </w:style>
  <w:style w:type="character" w:customStyle="1" w:styleId="138">
    <w:name w:val="页眉 字符"/>
    <w:basedOn w:val="134"/>
    <w:link w:val="26"/>
    <w:qFormat/>
    <w:uiPriority w:val="99"/>
  </w:style>
  <w:style w:type="character" w:customStyle="1" w:styleId="139">
    <w:name w:val="页脚 字符"/>
    <w:basedOn w:val="134"/>
    <w:link w:val="25"/>
    <w:qFormat/>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标题 1 字符"/>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标题 2 字符"/>
    <w:basedOn w:val="134"/>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标题 3 字符"/>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标题 字符"/>
    <w:basedOn w:val="134"/>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副标题 字符"/>
    <w:basedOn w:val="134"/>
    <w:link w:val="27"/>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正文文本 字符"/>
    <w:basedOn w:val="134"/>
    <w:link w:val="20"/>
    <w:uiPriority w:val="99"/>
  </w:style>
  <w:style w:type="character" w:customStyle="1" w:styleId="148">
    <w:name w:val="正文文本 2 字符"/>
    <w:basedOn w:val="134"/>
    <w:link w:val="29"/>
    <w:uiPriority w:val="99"/>
  </w:style>
  <w:style w:type="character" w:customStyle="1" w:styleId="149">
    <w:name w:val="正文文本 3 字符"/>
    <w:basedOn w:val="134"/>
    <w:link w:val="18"/>
    <w:uiPriority w:val="99"/>
    <w:rPr>
      <w:sz w:val="16"/>
      <w:szCs w:val="16"/>
    </w:rPr>
  </w:style>
  <w:style w:type="character" w:customStyle="1" w:styleId="150">
    <w:name w:val="宏文本 字符"/>
    <w:basedOn w:val="134"/>
    <w:link w:val="2"/>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引用 字符"/>
    <w:basedOn w:val="134"/>
    <w:link w:val="151"/>
    <w:uiPriority w:val="29"/>
    <w:rPr>
      <w:i/>
      <w:iCs/>
      <w:color w:val="000000" w:themeColor="text1"/>
      <w14:textFill>
        <w14:solidFill>
          <w14:schemeClr w14:val="tx1"/>
        </w14:solidFill>
      </w14:textFill>
    </w:rPr>
  </w:style>
  <w:style w:type="character" w:customStyle="1" w:styleId="153">
    <w:name w:val="标题 4 字符"/>
    <w:basedOn w:val="134"/>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标题 5 字符"/>
    <w:basedOn w:val="134"/>
    <w:link w:val="7"/>
    <w:semiHidden/>
    <w:uiPriority w:val="9"/>
    <w:rPr>
      <w:rFonts w:asciiTheme="majorHAnsi" w:hAnsiTheme="majorHAnsi" w:eastAsiaTheme="majorEastAsia" w:cstheme="majorBidi"/>
      <w:color w:val="254061" w:themeColor="accent1" w:themeShade="80"/>
    </w:rPr>
  </w:style>
  <w:style w:type="character" w:customStyle="1" w:styleId="155">
    <w:name w:val="标题 6 字符"/>
    <w:basedOn w:val="134"/>
    <w:link w:val="8"/>
    <w:semiHidden/>
    <w:uiPriority w:val="9"/>
    <w:rPr>
      <w:rFonts w:asciiTheme="majorHAnsi" w:hAnsiTheme="majorHAnsi" w:eastAsiaTheme="majorEastAsia" w:cstheme="majorBidi"/>
      <w:i/>
      <w:iCs/>
      <w:color w:val="254061" w:themeColor="accent1" w:themeShade="80"/>
    </w:rPr>
  </w:style>
  <w:style w:type="character" w:customStyle="1" w:styleId="156">
    <w:name w:val="标题 7 字符"/>
    <w:basedOn w:val="134"/>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标题 8 字符"/>
    <w:basedOn w:val="134"/>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标题 9 字符"/>
    <w:basedOn w:val="134"/>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明显引用 字符"/>
    <w:basedOn w:val="134"/>
    <w:link w:val="159"/>
    <w:uiPriority w:val="30"/>
    <w:rPr>
      <w:b/>
      <w:bCs/>
      <w:i/>
      <w:iCs/>
      <w:color w:val="4F81BD" w:themeColor="accent1"/>
      <w14:textFill>
        <w14:solidFill>
          <w14:schemeClr w14:val="accent1"/>
        </w14:solidFill>
      </w14:textFill>
    </w:rPr>
  </w:style>
  <w:style w:type="character" w:customStyle="1" w:styleId="161">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4"/>
    <w:qFormat/>
    <w:uiPriority w:val="21"/>
    <w:rPr>
      <w:b/>
      <w:bCs/>
      <w:i/>
      <w:iCs/>
      <w:color w:val="4F81BD" w:themeColor="accent1"/>
      <w14:textFill>
        <w14:solidFill>
          <w14:schemeClr w14:val="accent1"/>
        </w14:solidFill>
      </w14:textFill>
    </w:rPr>
  </w:style>
  <w:style w:type="character" w:customStyle="1" w:styleId="163">
    <w:name w:val="Subtle Reference"/>
    <w:basedOn w:val="134"/>
    <w:qFormat/>
    <w:uiPriority w:val="31"/>
    <w:rPr>
      <w:smallCaps/>
      <w:color w:val="C0504D" w:themeColor="accent2"/>
      <w:u w:val="single"/>
      <w14:textFill>
        <w14:solidFill>
          <w14:schemeClr w14:val="accent2"/>
        </w14:solidFill>
      </w14:textFill>
    </w:rPr>
  </w:style>
  <w:style w:type="character" w:customStyle="1" w:styleId="164">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4"/>
    <w:qFormat/>
    <w:uiPriority w:val="33"/>
    <w:rPr>
      <w:b/>
      <w:bCs/>
      <w:smallCaps/>
      <w:spacing w:val="5"/>
    </w:rPr>
  </w:style>
  <w:style w:type="paragraph" w:customStyle="1" w:styleId="166">
    <w:name w:val="TOC Heading"/>
    <w:basedOn w:val="3"/>
    <w:next w:val="1"/>
    <w:semiHidden/>
    <w:unhideWhenUsed/>
    <w:qFormat/>
    <w:uiPriority w:val="39"/>
    <w:pPr>
      <w:outlineLvl w:val="9"/>
    </w:pPr>
  </w:style>
  <w:style w:type="character" w:customStyle="1" w:styleId="167">
    <w:name w:val="批注文字 字符"/>
    <w:basedOn w:val="134"/>
    <w:link w:val="17"/>
    <w:uiPriority w:val="99"/>
  </w:style>
  <w:style w:type="character" w:customStyle="1" w:styleId="168">
    <w:name w:val="批注主题 字符"/>
    <w:basedOn w:val="167"/>
    <w:link w:val="33"/>
    <w:semiHidden/>
    <w:qFormat/>
    <w:uiPriority w:val="99"/>
    <w:rPr>
      <w:b/>
      <w:b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19</Pages>
  <Words>7253</Words>
  <Characters>7303</Characters>
  <Lines>174</Lines>
  <Paragraphs>174</Paragraphs>
  <TotalTime>94</TotalTime>
  <ScaleCrop>false</ScaleCrop>
  <LinksUpToDate>false</LinksUpToDate>
  <CharactersWithSpaces>7497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2026-09-14T01:19:00Z</dcterms:created>
  <dc:creator>python-docx</dc:creator>
  <dc:description>generated by python-docx</dc:description>
  <cp:lastModifiedBy>郑华林</cp:lastModifiedBy>
  <dcterms:modified xsi:type="dcterms:W3CDTF">2026-09-15T00:00:34Z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eyJoZGlkIjoiZWM3ZDBjNTg0YTU0MjQ0NTAxNmZmYWRkNjRhMjUyNzIiLCJ1c2VySWQiOiI1NjA4NzU2ODIifQ==</vt:lpwstr>
  </property>
  <property fmtid="{D5CDD505-2E9C-101B-9397-08002B2CF9AE}" pid="3" name="KSOProductBuildVer">
    <vt:lpwstr>2052-12.1.0.28043</vt:lpwstr>
  </property>
  <property fmtid="{D5CDD505-2E9C-101B-9397-08002B2CF9AE}" pid="4" name="ICV">
    <vt:lpwstr>07B6589BF3004DFEAEAA306D3C110FF0_13</vt:lpwstr>
  </property>
</Properties>
</file>